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381D8" w14:textId="2F41230E" w:rsidR="00750E86" w:rsidRDefault="00750E86"/>
    <w:p w14:paraId="19893F32" w14:textId="12AF1E5E" w:rsidR="00BE78AF" w:rsidRDefault="00BE78AF"/>
    <w:p w14:paraId="414A213A" w14:textId="17AEA0D2" w:rsidR="00BE78AF" w:rsidRDefault="00BE78AF"/>
    <w:p w14:paraId="53E99386" w14:textId="331B9922" w:rsidR="00BE78AF" w:rsidRDefault="00C0441B">
      <w:r>
        <w:drawing>
          <wp:anchor distT="0" distB="0" distL="114300" distR="114300" simplePos="0" relativeHeight="251658240" behindDoc="1" locked="0" layoutInCell="1" allowOverlap="1" wp14:anchorId="311A9824" wp14:editId="30C38E45">
            <wp:simplePos x="0" y="0"/>
            <wp:positionH relativeFrom="column">
              <wp:posOffset>1249680</wp:posOffset>
            </wp:positionH>
            <wp:positionV relativeFrom="paragraph">
              <wp:posOffset>57785</wp:posOffset>
            </wp:positionV>
            <wp:extent cx="3070860" cy="4203700"/>
            <wp:effectExtent l="0" t="0" r="0" b="6350"/>
            <wp:wrapTight wrapText="bothSides">
              <wp:wrapPolygon edited="0">
                <wp:start x="0" y="0"/>
                <wp:lineTo x="0" y="21535"/>
                <wp:lineTo x="21439" y="21535"/>
                <wp:lineTo x="2143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X TA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0860" cy="4203700"/>
                    </a:xfrm>
                    <a:prstGeom prst="rect">
                      <a:avLst/>
                    </a:prstGeom>
                  </pic:spPr>
                </pic:pic>
              </a:graphicData>
            </a:graphic>
            <wp14:sizeRelH relativeFrom="margin">
              <wp14:pctWidth>0</wp14:pctWidth>
            </wp14:sizeRelH>
            <wp14:sizeRelV relativeFrom="margin">
              <wp14:pctHeight>0</wp14:pctHeight>
            </wp14:sizeRelV>
          </wp:anchor>
        </w:drawing>
      </w:r>
    </w:p>
    <w:p w14:paraId="42CD5345" w14:textId="53CE7998" w:rsidR="00BE78AF" w:rsidRDefault="00BE78AF"/>
    <w:p w14:paraId="5A0064DE" w14:textId="4C75045F" w:rsidR="00BE78AF" w:rsidRDefault="00BE78AF"/>
    <w:p w14:paraId="5C2A7A94" w14:textId="5EB72052" w:rsidR="00BE78AF" w:rsidRDefault="00BE78AF"/>
    <w:p w14:paraId="64AD691D" w14:textId="77777777" w:rsidR="00BE78AF" w:rsidRDefault="00BE78AF"/>
    <w:p w14:paraId="6BA66635" w14:textId="77777777" w:rsidR="00BE78AF" w:rsidRDefault="00BE78AF"/>
    <w:p w14:paraId="69ABF5F0" w14:textId="77777777" w:rsidR="00BE78AF" w:rsidRDefault="00BE78AF"/>
    <w:p w14:paraId="0506ED9B" w14:textId="77777777" w:rsidR="00BE78AF" w:rsidRDefault="00BE78AF"/>
    <w:p w14:paraId="75D5F89F" w14:textId="77777777" w:rsidR="00BE78AF" w:rsidRDefault="00BE78AF"/>
    <w:p w14:paraId="2CAFD723" w14:textId="77777777" w:rsidR="00BE78AF" w:rsidRDefault="00BE78AF"/>
    <w:p w14:paraId="70DD186D" w14:textId="77777777" w:rsidR="00BE78AF" w:rsidRDefault="00BE78AF"/>
    <w:p w14:paraId="6CFF0F12" w14:textId="77777777" w:rsidR="00BE78AF" w:rsidRDefault="00BE78AF"/>
    <w:p w14:paraId="0FF220F3" w14:textId="77777777" w:rsidR="00BE78AF" w:rsidRDefault="00BE78AF"/>
    <w:p w14:paraId="56E6C40C" w14:textId="77777777" w:rsidR="00BE78AF" w:rsidRDefault="00BE78AF"/>
    <w:p w14:paraId="6DFBDBEB" w14:textId="77777777" w:rsidR="00BE78AF" w:rsidRDefault="00BE78AF"/>
    <w:p w14:paraId="7230C539" w14:textId="20040F55" w:rsidR="00BE78AF" w:rsidRDefault="00BE78AF">
      <w:pPr>
        <w:rPr>
          <w:sz w:val="52"/>
          <w:szCs w:val="52"/>
        </w:rPr>
      </w:pPr>
    </w:p>
    <w:p w14:paraId="56CCE5E7" w14:textId="0D9CA756" w:rsidR="00BE78AF" w:rsidRDefault="00BE78AF">
      <w:pPr>
        <w:rPr>
          <w:sz w:val="52"/>
          <w:szCs w:val="52"/>
        </w:rPr>
      </w:pPr>
    </w:p>
    <w:p w14:paraId="6F502389" w14:textId="77777777" w:rsidR="00BE78AF" w:rsidRPr="00BE78AF" w:rsidRDefault="00BE78AF">
      <w:pPr>
        <w:rPr>
          <w:sz w:val="52"/>
          <w:szCs w:val="52"/>
        </w:rPr>
      </w:pPr>
    </w:p>
    <w:p w14:paraId="46776B35" w14:textId="58B39C8D" w:rsidR="00BE78AF" w:rsidRPr="00C0441B" w:rsidRDefault="00BE78AF" w:rsidP="00BE78AF">
      <w:pPr>
        <w:jc w:val="right"/>
        <w:rPr>
          <w:rFonts w:ascii="Century Gothic" w:hAnsi="Century Gothic"/>
          <w:b/>
          <w:sz w:val="52"/>
          <w:szCs w:val="52"/>
        </w:rPr>
      </w:pPr>
      <w:r w:rsidRPr="00C0441B">
        <w:rPr>
          <w:rFonts w:ascii="Century Gothic" w:hAnsi="Century Gothic"/>
          <w:b/>
          <w:sz w:val="52"/>
          <w:szCs w:val="52"/>
        </w:rPr>
        <w:t xml:space="preserve">Te Araroa </w:t>
      </w:r>
      <w:r w:rsidR="00D45807">
        <w:rPr>
          <w:rFonts w:ascii="Century Gothic" w:hAnsi="Century Gothic"/>
          <w:b/>
          <w:sz w:val="52"/>
          <w:szCs w:val="52"/>
        </w:rPr>
        <w:t>Waitako</w:t>
      </w:r>
      <w:r w:rsidR="00D852D3">
        <w:rPr>
          <w:rFonts w:ascii="Century Gothic" w:hAnsi="Century Gothic"/>
          <w:b/>
          <w:sz w:val="52"/>
          <w:szCs w:val="52"/>
        </w:rPr>
        <w:t xml:space="preserve"> Regional </w:t>
      </w:r>
      <w:r w:rsidRPr="00C0441B">
        <w:rPr>
          <w:rFonts w:ascii="Century Gothic" w:hAnsi="Century Gothic"/>
          <w:b/>
          <w:sz w:val="52"/>
          <w:szCs w:val="52"/>
        </w:rPr>
        <w:t>Trustee Information Pack</w:t>
      </w:r>
    </w:p>
    <w:p w14:paraId="50DDCE1E" w14:textId="21D0752E" w:rsidR="00BE78AF" w:rsidRPr="00C0441B" w:rsidRDefault="00D45807" w:rsidP="00BE78AF">
      <w:pPr>
        <w:jc w:val="right"/>
        <w:rPr>
          <w:rFonts w:ascii="Century Gothic" w:hAnsi="Century Gothic"/>
          <w:b/>
          <w:sz w:val="32"/>
          <w:szCs w:val="32"/>
        </w:rPr>
      </w:pPr>
      <w:r>
        <w:rPr>
          <w:rFonts w:ascii="Century Gothic" w:hAnsi="Century Gothic"/>
          <w:b/>
          <w:sz w:val="32"/>
          <w:szCs w:val="32"/>
        </w:rPr>
        <w:t>July 2021</w:t>
      </w:r>
    </w:p>
    <w:p w14:paraId="51C20441" w14:textId="77E36C61" w:rsidR="005C4331" w:rsidRPr="00C0441B" w:rsidRDefault="005C4331" w:rsidP="00BE78AF">
      <w:pPr>
        <w:jc w:val="right"/>
        <w:rPr>
          <w:rFonts w:ascii="Century Gothic" w:hAnsi="Century Gothic"/>
          <w:b/>
          <w:sz w:val="24"/>
          <w:szCs w:val="24"/>
        </w:rPr>
      </w:pPr>
    </w:p>
    <w:p w14:paraId="38482454" w14:textId="42A682B5" w:rsidR="005C4331" w:rsidRPr="00C0441B" w:rsidRDefault="005C4331" w:rsidP="00BE78AF">
      <w:pPr>
        <w:jc w:val="right"/>
        <w:rPr>
          <w:rFonts w:ascii="Century Gothic" w:hAnsi="Century Gothic"/>
          <w:b/>
          <w:sz w:val="52"/>
          <w:szCs w:val="52"/>
        </w:rPr>
      </w:pPr>
    </w:p>
    <w:p w14:paraId="3B02FF01" w14:textId="2165BC6F" w:rsidR="00173A47" w:rsidRDefault="00173A47" w:rsidP="005C4331">
      <w:pPr>
        <w:rPr>
          <w:rFonts w:ascii="Century Gothic" w:hAnsi="Century Gothic"/>
          <w:b/>
          <w:sz w:val="20"/>
          <w:szCs w:val="20"/>
        </w:rPr>
      </w:pPr>
      <w:r w:rsidRPr="001D0066">
        <w:rPr>
          <w:rFonts w:ascii="Century Gothic" w:hAnsi="Century Gothic"/>
          <w:b/>
          <w:sz w:val="20"/>
          <w:szCs w:val="20"/>
        </w:rPr>
        <w:lastRenderedPageBreak/>
        <w:t>What is Te Araroa?</w:t>
      </w:r>
    </w:p>
    <w:p w14:paraId="4F3D482C" w14:textId="77777777" w:rsidR="00082A6A" w:rsidRPr="00082A6A" w:rsidRDefault="00082A6A" w:rsidP="00082A6A">
      <w:pPr>
        <w:spacing w:before="200" w:after="0" w:line="216" w:lineRule="auto"/>
        <w:jc w:val="both"/>
        <w:rPr>
          <w:rFonts w:ascii="Century Gothic" w:eastAsia="Times New Roman" w:hAnsi="Century Gothic" w:cs="Times New Roman"/>
          <w:noProof w:val="0"/>
          <w:sz w:val="20"/>
          <w:szCs w:val="20"/>
          <w:lang w:eastAsia="en-NZ"/>
        </w:rPr>
      </w:pPr>
      <w:r w:rsidRPr="00082A6A">
        <w:rPr>
          <w:rFonts w:ascii="Century Gothic" w:eastAsiaTheme="minorEastAsia" w:hAnsi="Century Gothic"/>
          <w:noProof w:val="0"/>
          <w:color w:val="404040" w:themeColor="text1" w:themeTint="BF"/>
          <w:kern w:val="24"/>
          <w:sz w:val="20"/>
          <w:szCs w:val="20"/>
          <w:lang w:eastAsia="en-NZ"/>
        </w:rPr>
        <w:t>Te Araroa is New Zealand’s national walking trail, traversing 3,000 kilometres of stunning scenery as it winds its way from Cape Reinga in the far north to Bluff at the bottom of the South Island.</w:t>
      </w:r>
    </w:p>
    <w:p w14:paraId="7D069686" w14:textId="77777777" w:rsidR="00082A6A" w:rsidRPr="00082A6A" w:rsidRDefault="00082A6A" w:rsidP="00082A6A">
      <w:pPr>
        <w:spacing w:before="200" w:after="0" w:line="216" w:lineRule="auto"/>
        <w:jc w:val="both"/>
        <w:rPr>
          <w:rFonts w:ascii="Century Gothic" w:eastAsia="Times New Roman" w:hAnsi="Century Gothic" w:cs="Times New Roman"/>
          <w:noProof w:val="0"/>
          <w:sz w:val="20"/>
          <w:szCs w:val="20"/>
          <w:lang w:eastAsia="en-NZ"/>
        </w:rPr>
      </w:pPr>
      <w:r w:rsidRPr="00082A6A">
        <w:rPr>
          <w:rFonts w:ascii="Century Gothic" w:eastAsiaTheme="minorEastAsia" w:hAnsi="Century Gothic"/>
          <w:noProof w:val="0"/>
          <w:color w:val="404040" w:themeColor="text1" w:themeTint="BF"/>
          <w:kern w:val="24"/>
          <w:sz w:val="20"/>
          <w:szCs w:val="20"/>
          <w:lang w:eastAsia="en-NZ"/>
        </w:rPr>
        <w:t>Opened in 2011, it has been rated among the top long walks in the world by CNN and National Geographic for its scenic beauty and the way it connects walkers with New Zealand communities, cultures and historic sites.</w:t>
      </w:r>
    </w:p>
    <w:p w14:paraId="00C98B05" w14:textId="1EE95786" w:rsidR="00082A6A" w:rsidRPr="00082A6A" w:rsidRDefault="00082A6A" w:rsidP="00082A6A">
      <w:pPr>
        <w:spacing w:before="200" w:after="0" w:line="216" w:lineRule="auto"/>
        <w:jc w:val="both"/>
        <w:rPr>
          <w:rFonts w:ascii="Century Gothic" w:eastAsia="Times New Roman" w:hAnsi="Century Gothic" w:cs="Times New Roman"/>
          <w:noProof w:val="0"/>
          <w:sz w:val="20"/>
          <w:szCs w:val="20"/>
          <w:lang w:eastAsia="en-NZ"/>
        </w:rPr>
      </w:pPr>
      <w:r w:rsidRPr="00082A6A">
        <w:rPr>
          <w:rFonts w:ascii="Century Gothic" w:eastAsiaTheme="minorEastAsia" w:hAnsi="Century Gothic"/>
          <w:noProof w:val="0"/>
          <w:color w:val="404040" w:themeColor="text1" w:themeTint="BF"/>
          <w:kern w:val="24"/>
          <w:sz w:val="20"/>
          <w:szCs w:val="20"/>
          <w:lang w:eastAsia="en-NZ"/>
        </w:rPr>
        <w:t>During the 20</w:t>
      </w:r>
      <w:r w:rsidR="00D45807">
        <w:rPr>
          <w:rFonts w:ascii="Century Gothic" w:eastAsiaTheme="minorEastAsia" w:hAnsi="Century Gothic"/>
          <w:noProof w:val="0"/>
          <w:color w:val="404040" w:themeColor="text1" w:themeTint="BF"/>
          <w:kern w:val="24"/>
          <w:sz w:val="20"/>
          <w:szCs w:val="20"/>
          <w:lang w:eastAsia="en-NZ"/>
        </w:rPr>
        <w:t>19</w:t>
      </w:r>
      <w:r w:rsidRPr="00082A6A">
        <w:rPr>
          <w:rFonts w:ascii="Century Gothic" w:eastAsiaTheme="minorEastAsia" w:hAnsi="Century Gothic"/>
          <w:noProof w:val="0"/>
          <w:color w:val="404040" w:themeColor="text1" w:themeTint="BF"/>
          <w:kern w:val="24"/>
          <w:sz w:val="20"/>
          <w:szCs w:val="20"/>
          <w:lang w:eastAsia="en-NZ"/>
        </w:rPr>
        <w:t>-20</w:t>
      </w:r>
      <w:r w:rsidR="00D45807">
        <w:rPr>
          <w:rFonts w:ascii="Century Gothic" w:eastAsiaTheme="minorEastAsia" w:hAnsi="Century Gothic"/>
          <w:noProof w:val="0"/>
          <w:color w:val="404040" w:themeColor="text1" w:themeTint="BF"/>
          <w:kern w:val="24"/>
          <w:sz w:val="20"/>
          <w:szCs w:val="20"/>
          <w:lang w:eastAsia="en-NZ"/>
        </w:rPr>
        <w:t>20</w:t>
      </w:r>
      <w:r w:rsidRPr="00082A6A">
        <w:rPr>
          <w:rFonts w:ascii="Century Gothic" w:eastAsiaTheme="minorEastAsia" w:hAnsi="Century Gothic"/>
          <w:noProof w:val="0"/>
          <w:color w:val="404040" w:themeColor="text1" w:themeTint="BF"/>
          <w:kern w:val="24"/>
          <w:sz w:val="20"/>
          <w:szCs w:val="20"/>
          <w:lang w:eastAsia="en-NZ"/>
        </w:rPr>
        <w:t xml:space="preserve"> walking season (October-April) the number of people walking the entire length of the trail exceeded 1,</w:t>
      </w:r>
      <w:r w:rsidR="00D45807">
        <w:rPr>
          <w:rFonts w:ascii="Century Gothic" w:eastAsiaTheme="minorEastAsia" w:hAnsi="Century Gothic"/>
          <w:noProof w:val="0"/>
          <w:color w:val="404040" w:themeColor="text1" w:themeTint="BF"/>
          <w:kern w:val="24"/>
          <w:sz w:val="20"/>
          <w:szCs w:val="20"/>
          <w:lang w:eastAsia="en-NZ"/>
        </w:rPr>
        <w:t>2</w:t>
      </w:r>
      <w:r w:rsidRPr="00082A6A">
        <w:rPr>
          <w:rFonts w:ascii="Century Gothic" w:eastAsiaTheme="minorEastAsia" w:hAnsi="Century Gothic"/>
          <w:noProof w:val="0"/>
          <w:color w:val="404040" w:themeColor="text1" w:themeTint="BF"/>
          <w:kern w:val="24"/>
          <w:sz w:val="20"/>
          <w:szCs w:val="20"/>
          <w:lang w:eastAsia="en-NZ"/>
        </w:rPr>
        <w:t xml:space="preserve">00 for the first time. Hundreds of thousands more walked individual sections in their weekends, during their holidays, or at the end of the day as part of their weekly exercise regime. </w:t>
      </w:r>
    </w:p>
    <w:p w14:paraId="4EE6E780" w14:textId="77777777" w:rsidR="00082A6A" w:rsidRPr="00082A6A" w:rsidRDefault="00082A6A" w:rsidP="00082A6A">
      <w:pPr>
        <w:spacing w:before="200" w:after="0" w:line="216" w:lineRule="auto"/>
        <w:jc w:val="both"/>
        <w:rPr>
          <w:rFonts w:ascii="Century Gothic" w:eastAsia="Times New Roman" w:hAnsi="Century Gothic" w:cs="Times New Roman"/>
          <w:noProof w:val="0"/>
          <w:sz w:val="20"/>
          <w:szCs w:val="20"/>
          <w:lang w:eastAsia="en-NZ"/>
        </w:rPr>
      </w:pPr>
      <w:r w:rsidRPr="00082A6A">
        <w:rPr>
          <w:rFonts w:ascii="Century Gothic" w:eastAsiaTheme="minorEastAsia" w:hAnsi="Century Gothic"/>
          <w:noProof w:val="0"/>
          <w:color w:val="404040" w:themeColor="text1" w:themeTint="BF"/>
          <w:kern w:val="24"/>
          <w:sz w:val="20"/>
          <w:szCs w:val="20"/>
          <w:lang w:eastAsia="en-NZ"/>
        </w:rPr>
        <w:t xml:space="preserve">Walking the trail provides people with an immense sense of achievement, as well as significant mental and physical health benefits. The growing number of walkers is also making an immense contribution to the many communities the trail passes through by boosting regional economies, re-invigorating towns and enabling local businesses to thrive. </w:t>
      </w:r>
    </w:p>
    <w:p w14:paraId="0B4C0B8C" w14:textId="5BCEB81F" w:rsidR="00082A6A" w:rsidRDefault="00082A6A" w:rsidP="00082A6A">
      <w:pPr>
        <w:spacing w:before="200" w:after="0" w:line="216" w:lineRule="auto"/>
        <w:jc w:val="both"/>
        <w:rPr>
          <w:rFonts w:ascii="Century Gothic" w:eastAsiaTheme="minorEastAsia" w:hAnsi="Century Gothic"/>
          <w:noProof w:val="0"/>
          <w:color w:val="404040" w:themeColor="text1" w:themeTint="BF"/>
          <w:kern w:val="24"/>
          <w:sz w:val="20"/>
          <w:szCs w:val="20"/>
          <w:lang w:eastAsia="en-NZ"/>
        </w:rPr>
      </w:pPr>
      <w:r w:rsidRPr="00082A6A">
        <w:rPr>
          <w:rFonts w:ascii="Century Gothic" w:eastAsiaTheme="minorEastAsia" w:hAnsi="Century Gothic"/>
          <w:noProof w:val="0"/>
          <w:color w:val="404040" w:themeColor="text1" w:themeTint="BF"/>
          <w:kern w:val="24"/>
          <w:sz w:val="20"/>
          <w:szCs w:val="20"/>
          <w:lang w:eastAsia="en-NZ"/>
        </w:rPr>
        <w:t xml:space="preserve">Te Araroa Trust is the kaitiaki (guardian) of the Trail, responsible for developing, promoting and managing the trail for the good of New Zealand. </w:t>
      </w:r>
    </w:p>
    <w:p w14:paraId="247A5AB3" w14:textId="5AA31122" w:rsidR="00082A6A" w:rsidRDefault="00082A6A" w:rsidP="00082A6A">
      <w:pPr>
        <w:spacing w:before="200" w:after="0" w:line="216" w:lineRule="auto"/>
        <w:jc w:val="both"/>
        <w:rPr>
          <w:rFonts w:ascii="Century Gothic" w:eastAsiaTheme="minorEastAsia" w:hAnsi="Century Gothic"/>
          <w:noProof w:val="0"/>
          <w:color w:val="404040" w:themeColor="text1" w:themeTint="BF"/>
          <w:kern w:val="24"/>
          <w:sz w:val="20"/>
          <w:szCs w:val="20"/>
          <w:lang w:eastAsia="en-NZ"/>
        </w:rPr>
      </w:pPr>
      <w:r>
        <w:drawing>
          <wp:anchor distT="0" distB="0" distL="114300" distR="114300" simplePos="0" relativeHeight="251662336" behindDoc="1" locked="0" layoutInCell="1" allowOverlap="1" wp14:anchorId="52A5F6FD" wp14:editId="37254029">
            <wp:simplePos x="0" y="0"/>
            <wp:positionH relativeFrom="column">
              <wp:posOffset>845820</wp:posOffset>
            </wp:positionH>
            <wp:positionV relativeFrom="paragraph">
              <wp:posOffset>171785</wp:posOffset>
            </wp:positionV>
            <wp:extent cx="4168371" cy="577054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70473" cy="57734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7CAFD09" w14:textId="62C5D5AC" w:rsidR="00082A6A" w:rsidRDefault="00082A6A" w:rsidP="00082A6A">
      <w:pPr>
        <w:spacing w:before="200" w:after="0" w:line="216" w:lineRule="auto"/>
        <w:jc w:val="both"/>
        <w:rPr>
          <w:rFonts w:ascii="Century Gothic" w:eastAsiaTheme="minorEastAsia" w:hAnsi="Century Gothic"/>
          <w:noProof w:val="0"/>
          <w:color w:val="404040" w:themeColor="text1" w:themeTint="BF"/>
          <w:kern w:val="24"/>
          <w:sz w:val="20"/>
          <w:szCs w:val="20"/>
          <w:lang w:eastAsia="en-NZ"/>
        </w:rPr>
      </w:pPr>
    </w:p>
    <w:p w14:paraId="3FA942A3" w14:textId="5B6E3B95" w:rsidR="00082A6A" w:rsidRDefault="00082A6A" w:rsidP="00082A6A">
      <w:pPr>
        <w:spacing w:before="200" w:after="0" w:line="216" w:lineRule="auto"/>
        <w:jc w:val="both"/>
        <w:rPr>
          <w:rFonts w:ascii="Century Gothic" w:eastAsiaTheme="minorEastAsia" w:hAnsi="Century Gothic"/>
          <w:noProof w:val="0"/>
          <w:color w:val="404040" w:themeColor="text1" w:themeTint="BF"/>
          <w:kern w:val="24"/>
          <w:sz w:val="20"/>
          <w:szCs w:val="20"/>
          <w:lang w:eastAsia="en-NZ"/>
        </w:rPr>
      </w:pPr>
    </w:p>
    <w:p w14:paraId="2EF0B133" w14:textId="62CAC4D9" w:rsidR="00082A6A" w:rsidRDefault="00082A6A" w:rsidP="00082A6A">
      <w:pPr>
        <w:spacing w:before="200" w:after="0" w:line="216" w:lineRule="auto"/>
        <w:jc w:val="both"/>
        <w:rPr>
          <w:rFonts w:ascii="Century Gothic" w:eastAsiaTheme="minorEastAsia" w:hAnsi="Century Gothic"/>
          <w:noProof w:val="0"/>
          <w:color w:val="404040" w:themeColor="text1" w:themeTint="BF"/>
          <w:kern w:val="24"/>
          <w:sz w:val="20"/>
          <w:szCs w:val="20"/>
          <w:lang w:eastAsia="en-NZ"/>
        </w:rPr>
      </w:pPr>
    </w:p>
    <w:p w14:paraId="17EE9213" w14:textId="3666A331" w:rsidR="00082A6A" w:rsidRDefault="00082A6A" w:rsidP="00082A6A">
      <w:pPr>
        <w:spacing w:before="200" w:after="0" w:line="216" w:lineRule="auto"/>
        <w:jc w:val="both"/>
        <w:rPr>
          <w:rFonts w:ascii="Century Gothic" w:eastAsiaTheme="minorEastAsia" w:hAnsi="Century Gothic"/>
          <w:noProof w:val="0"/>
          <w:color w:val="404040" w:themeColor="text1" w:themeTint="BF"/>
          <w:kern w:val="24"/>
          <w:sz w:val="20"/>
          <w:szCs w:val="20"/>
          <w:lang w:eastAsia="en-NZ"/>
        </w:rPr>
      </w:pPr>
    </w:p>
    <w:p w14:paraId="1A8F62CC" w14:textId="77777777" w:rsidR="00082A6A" w:rsidRPr="00082A6A" w:rsidRDefault="00082A6A" w:rsidP="00082A6A">
      <w:pPr>
        <w:spacing w:before="200" w:after="0" w:line="216" w:lineRule="auto"/>
        <w:jc w:val="both"/>
        <w:rPr>
          <w:rFonts w:ascii="Century Gothic" w:eastAsia="Times New Roman" w:hAnsi="Century Gothic" w:cs="Times New Roman"/>
          <w:noProof w:val="0"/>
          <w:sz w:val="20"/>
          <w:szCs w:val="20"/>
          <w:lang w:eastAsia="en-NZ"/>
        </w:rPr>
      </w:pPr>
    </w:p>
    <w:p w14:paraId="56FAA253" w14:textId="6832263D" w:rsidR="00082A6A" w:rsidRDefault="00082A6A" w:rsidP="005C4331">
      <w:pPr>
        <w:rPr>
          <w:rFonts w:ascii="Century Gothic" w:hAnsi="Century Gothic"/>
          <w:b/>
          <w:sz w:val="20"/>
          <w:szCs w:val="20"/>
        </w:rPr>
      </w:pPr>
    </w:p>
    <w:p w14:paraId="66F1D510" w14:textId="77777777" w:rsidR="00082A6A" w:rsidRPr="001D0066" w:rsidRDefault="00082A6A" w:rsidP="005C4331">
      <w:pPr>
        <w:rPr>
          <w:rFonts w:ascii="Century Gothic" w:hAnsi="Century Gothic"/>
          <w:b/>
          <w:sz w:val="20"/>
          <w:szCs w:val="20"/>
        </w:rPr>
      </w:pPr>
    </w:p>
    <w:p w14:paraId="3AB3A826" w14:textId="77777777" w:rsidR="00082A6A" w:rsidRDefault="00082A6A" w:rsidP="001D0066">
      <w:pPr>
        <w:jc w:val="both"/>
        <w:rPr>
          <w:rFonts w:ascii="Century Gothic" w:hAnsi="Century Gothic"/>
          <w:b/>
          <w:sz w:val="20"/>
          <w:szCs w:val="20"/>
        </w:rPr>
      </w:pPr>
    </w:p>
    <w:p w14:paraId="4580BCC2" w14:textId="77777777" w:rsidR="00082A6A" w:rsidRDefault="00082A6A" w:rsidP="001D0066">
      <w:pPr>
        <w:jc w:val="both"/>
        <w:rPr>
          <w:rFonts w:ascii="Century Gothic" w:hAnsi="Century Gothic"/>
          <w:b/>
          <w:sz w:val="20"/>
          <w:szCs w:val="20"/>
        </w:rPr>
      </w:pPr>
    </w:p>
    <w:p w14:paraId="1246F818" w14:textId="77777777" w:rsidR="00082A6A" w:rsidRDefault="00082A6A" w:rsidP="001D0066">
      <w:pPr>
        <w:jc w:val="both"/>
        <w:rPr>
          <w:rFonts w:ascii="Century Gothic" w:hAnsi="Century Gothic"/>
          <w:b/>
          <w:sz w:val="20"/>
          <w:szCs w:val="20"/>
        </w:rPr>
      </w:pPr>
    </w:p>
    <w:p w14:paraId="22CADBD2" w14:textId="77777777" w:rsidR="00082A6A" w:rsidRDefault="00082A6A" w:rsidP="001D0066">
      <w:pPr>
        <w:jc w:val="both"/>
        <w:rPr>
          <w:rFonts w:ascii="Century Gothic" w:hAnsi="Century Gothic"/>
          <w:b/>
          <w:sz w:val="20"/>
          <w:szCs w:val="20"/>
        </w:rPr>
      </w:pPr>
    </w:p>
    <w:p w14:paraId="046FAD27" w14:textId="77777777" w:rsidR="00082A6A" w:rsidRDefault="00082A6A" w:rsidP="001D0066">
      <w:pPr>
        <w:jc w:val="both"/>
        <w:rPr>
          <w:rFonts w:ascii="Century Gothic" w:hAnsi="Century Gothic"/>
          <w:b/>
          <w:sz w:val="20"/>
          <w:szCs w:val="20"/>
        </w:rPr>
      </w:pPr>
    </w:p>
    <w:p w14:paraId="3295A37F" w14:textId="77777777" w:rsidR="00082A6A" w:rsidRDefault="00082A6A" w:rsidP="001D0066">
      <w:pPr>
        <w:jc w:val="both"/>
        <w:rPr>
          <w:rFonts w:ascii="Century Gothic" w:hAnsi="Century Gothic"/>
          <w:b/>
          <w:sz w:val="20"/>
          <w:szCs w:val="20"/>
        </w:rPr>
      </w:pPr>
    </w:p>
    <w:p w14:paraId="7A77B4BD" w14:textId="77777777" w:rsidR="00082A6A" w:rsidRDefault="00082A6A" w:rsidP="001D0066">
      <w:pPr>
        <w:jc w:val="both"/>
        <w:rPr>
          <w:rFonts w:ascii="Century Gothic" w:hAnsi="Century Gothic"/>
          <w:b/>
          <w:sz w:val="20"/>
          <w:szCs w:val="20"/>
        </w:rPr>
      </w:pPr>
    </w:p>
    <w:p w14:paraId="6BB676A3" w14:textId="77777777" w:rsidR="00082A6A" w:rsidRDefault="00082A6A" w:rsidP="001D0066">
      <w:pPr>
        <w:jc w:val="both"/>
        <w:rPr>
          <w:rFonts w:ascii="Century Gothic" w:hAnsi="Century Gothic"/>
          <w:b/>
          <w:sz w:val="20"/>
          <w:szCs w:val="20"/>
        </w:rPr>
      </w:pPr>
    </w:p>
    <w:p w14:paraId="56B18023" w14:textId="77777777" w:rsidR="00082A6A" w:rsidRDefault="00082A6A" w:rsidP="001D0066">
      <w:pPr>
        <w:jc w:val="both"/>
        <w:rPr>
          <w:rFonts w:ascii="Century Gothic" w:hAnsi="Century Gothic"/>
          <w:b/>
          <w:sz w:val="20"/>
          <w:szCs w:val="20"/>
        </w:rPr>
      </w:pPr>
    </w:p>
    <w:p w14:paraId="3FD15259" w14:textId="77777777" w:rsidR="00082A6A" w:rsidRDefault="00082A6A" w:rsidP="001D0066">
      <w:pPr>
        <w:jc w:val="both"/>
        <w:rPr>
          <w:rFonts w:ascii="Century Gothic" w:hAnsi="Century Gothic"/>
          <w:b/>
          <w:sz w:val="20"/>
          <w:szCs w:val="20"/>
        </w:rPr>
      </w:pPr>
    </w:p>
    <w:p w14:paraId="2B6BE6B5" w14:textId="77777777" w:rsidR="00082A6A" w:rsidRDefault="00082A6A" w:rsidP="001D0066">
      <w:pPr>
        <w:jc w:val="both"/>
        <w:rPr>
          <w:rFonts w:ascii="Century Gothic" w:hAnsi="Century Gothic"/>
          <w:b/>
          <w:sz w:val="20"/>
          <w:szCs w:val="20"/>
        </w:rPr>
      </w:pPr>
    </w:p>
    <w:p w14:paraId="3FC33F4F" w14:textId="77777777" w:rsidR="00082A6A" w:rsidRDefault="00082A6A" w:rsidP="001D0066">
      <w:pPr>
        <w:jc w:val="both"/>
        <w:rPr>
          <w:rFonts w:ascii="Century Gothic" w:hAnsi="Century Gothic"/>
          <w:b/>
          <w:sz w:val="20"/>
          <w:szCs w:val="20"/>
        </w:rPr>
      </w:pPr>
    </w:p>
    <w:p w14:paraId="52AA3695" w14:textId="77777777" w:rsidR="00082A6A" w:rsidRDefault="00082A6A" w:rsidP="001D0066">
      <w:pPr>
        <w:jc w:val="both"/>
        <w:rPr>
          <w:rFonts w:ascii="Century Gothic" w:hAnsi="Century Gothic"/>
          <w:b/>
          <w:sz w:val="20"/>
          <w:szCs w:val="20"/>
        </w:rPr>
      </w:pPr>
    </w:p>
    <w:p w14:paraId="0BB3B490" w14:textId="77777777" w:rsidR="00082A6A" w:rsidRDefault="00082A6A" w:rsidP="001D0066">
      <w:pPr>
        <w:jc w:val="both"/>
        <w:rPr>
          <w:rFonts w:ascii="Century Gothic" w:hAnsi="Century Gothic"/>
          <w:b/>
          <w:sz w:val="20"/>
          <w:szCs w:val="20"/>
        </w:rPr>
      </w:pPr>
    </w:p>
    <w:p w14:paraId="48155553" w14:textId="66FCCF90" w:rsidR="00173A47" w:rsidRPr="001D0066" w:rsidRDefault="00173A47" w:rsidP="001D0066">
      <w:pPr>
        <w:jc w:val="both"/>
        <w:rPr>
          <w:rFonts w:ascii="Century Gothic" w:hAnsi="Century Gothic"/>
          <w:b/>
          <w:sz w:val="20"/>
          <w:szCs w:val="20"/>
        </w:rPr>
      </w:pPr>
      <w:r w:rsidRPr="001D0066">
        <w:rPr>
          <w:rFonts w:ascii="Century Gothic" w:hAnsi="Century Gothic"/>
          <w:b/>
          <w:sz w:val="20"/>
          <w:szCs w:val="20"/>
        </w:rPr>
        <w:lastRenderedPageBreak/>
        <w:t>High Level History</w:t>
      </w:r>
    </w:p>
    <w:p w14:paraId="42979C6D" w14:textId="1E356DF3"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1975 – The New Zealand Walkways Commission is formed. One of its goals is a New Zealand-long “scenic” trail.</w:t>
      </w:r>
    </w:p>
    <w:p w14:paraId="4D58EA6C" w14:textId="77777777"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1983/84 – A NZ Taranaki man Rex Hendry did a wilderness walk that explored a possible route for a long NZ trail.</w:t>
      </w:r>
    </w:p>
    <w:p w14:paraId="67260F7E" w14:textId="77777777"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1987 – The New Zealand Walkways Commission is folded into the Department of Conservation without having achieved a long trail.</w:t>
      </w:r>
    </w:p>
    <w:p w14:paraId="3A2D41F2" w14:textId="77777777"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1994 – Te Araroa Trust is formed after a newspaper article by Geoff Chapple advocating a New Zealand-long trail.</w:t>
      </w:r>
    </w:p>
    <w:p w14:paraId="7547AD57" w14:textId="77777777"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1995 – First trail Kerikeri-Waitangi opened by then Prime Minister Jim Bolger.</w:t>
      </w:r>
    </w:p>
    <w:p w14:paraId="59D1C6EF" w14:textId="77777777"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1997 – Te Araroa Trust maps a North Island route in consultation with local and regional councils en route, and DoC Conservancies.</w:t>
      </w:r>
    </w:p>
    <w:p w14:paraId="5FC9A10E" w14:textId="47E925B5"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 xml:space="preserve">1998 – Geoff Chapple walks the North Island route to prove viability, to test land-owner response, to raise funds, and heighten the project’s profile. He writes one of the first </w:t>
      </w:r>
      <w:r w:rsidR="008460C4" w:rsidRPr="001D0066">
        <w:rPr>
          <w:rFonts w:ascii="Century Gothic" w:hAnsi="Century Gothic" w:cs="Helvetica"/>
          <w:color w:val="333333"/>
          <w:sz w:val="18"/>
          <w:szCs w:val="18"/>
        </w:rPr>
        <w:t>weblogs</w:t>
      </w:r>
      <w:r w:rsidRPr="001D0066">
        <w:rPr>
          <w:rFonts w:ascii="Century Gothic" w:hAnsi="Century Gothic" w:cs="Helvetica"/>
          <w:color w:val="333333"/>
          <w:sz w:val="18"/>
          <w:szCs w:val="18"/>
        </w:rPr>
        <w:t xml:space="preserve"> which becomes popular, and the trail idea begins to take hold.</w:t>
      </w:r>
    </w:p>
    <w:p w14:paraId="553474F2" w14:textId="182C4456"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 xml:space="preserve">1999 – Te Araroa Trust gets a Millennium </w:t>
      </w:r>
      <w:r w:rsidR="008460C4" w:rsidRPr="001D0066">
        <w:rPr>
          <w:rFonts w:ascii="Century Gothic" w:hAnsi="Century Gothic" w:cs="Helvetica"/>
          <w:color w:val="333333"/>
          <w:sz w:val="18"/>
          <w:szCs w:val="18"/>
        </w:rPr>
        <w:t>grant and</w:t>
      </w:r>
      <w:r w:rsidRPr="001D0066">
        <w:rPr>
          <w:rFonts w:ascii="Century Gothic" w:hAnsi="Century Gothic" w:cs="Helvetica"/>
          <w:color w:val="333333"/>
          <w:sz w:val="18"/>
          <w:szCs w:val="18"/>
        </w:rPr>
        <w:t xml:space="preserve"> hires a construction manager and work teams for its first linking track down the Waikato River.</w:t>
      </w:r>
    </w:p>
    <w:p w14:paraId="5877401A" w14:textId="77777777"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2002 – Te Araroa Trust maps the South Island trail, again with extensive consultation, and Geoff Chapple walks the trail, and tests land-owner responses en route.</w:t>
      </w:r>
    </w:p>
    <w:p w14:paraId="71E31DA1" w14:textId="77777777" w:rsidR="00173A47" w:rsidRPr="001D0066" w:rsidRDefault="00173A47" w:rsidP="001D0066">
      <w:pPr>
        <w:pStyle w:val="NormalWeb"/>
        <w:numPr>
          <w:ilvl w:val="0"/>
          <w:numId w:val="1"/>
        </w:numPr>
        <w:shd w:val="clear" w:color="auto" w:fill="FFFFFF"/>
        <w:spacing w:before="0" w:beforeAutospacing="0" w:after="150" w:afterAutospacing="0"/>
        <w:ind w:left="375"/>
        <w:jc w:val="both"/>
        <w:rPr>
          <w:rFonts w:ascii="Century Gothic" w:hAnsi="Century Gothic" w:cs="Helvetica"/>
          <w:color w:val="333333"/>
          <w:sz w:val="18"/>
          <w:szCs w:val="18"/>
        </w:rPr>
      </w:pPr>
      <w:r w:rsidRPr="001D0066">
        <w:rPr>
          <w:rFonts w:ascii="Century Gothic" w:hAnsi="Century Gothic" w:cs="Helvetica"/>
          <w:color w:val="333333"/>
          <w:sz w:val="18"/>
          <w:szCs w:val="18"/>
        </w:rPr>
        <w:t>Te Araroa Trust signs an MoU with the Department of Conservation under which DOC agrees to assist Te Araroa Trust with a continuous tramping corridor east of the Southern Alps.</w:t>
      </w:r>
    </w:p>
    <w:p w14:paraId="30F490D1" w14:textId="77777777" w:rsidR="00173A47" w:rsidRPr="001D0066" w:rsidRDefault="00173A47" w:rsidP="001D0066">
      <w:pPr>
        <w:pStyle w:val="NormalWeb"/>
        <w:numPr>
          <w:ilvl w:val="0"/>
          <w:numId w:val="1"/>
        </w:numPr>
        <w:shd w:val="clear" w:color="auto" w:fill="FFFFFF"/>
        <w:spacing w:before="0" w:beforeAutospacing="0" w:after="150" w:afterAutospacing="0"/>
        <w:ind w:left="375"/>
        <w:jc w:val="both"/>
        <w:rPr>
          <w:rFonts w:ascii="Century Gothic" w:hAnsi="Century Gothic" w:cs="Helvetica"/>
          <w:color w:val="333333"/>
          <w:sz w:val="18"/>
          <w:szCs w:val="18"/>
        </w:rPr>
      </w:pPr>
      <w:r w:rsidRPr="001D0066">
        <w:rPr>
          <w:rFonts w:ascii="Century Gothic" w:hAnsi="Century Gothic" w:cs="Helvetica"/>
          <w:color w:val="333333"/>
          <w:sz w:val="18"/>
          <w:szCs w:val="18"/>
        </w:rPr>
        <w:t>The Mayors Taskforce, led by Christchurch mayor Garry Moore adopts Te Araroa as a “priority project.” Over 20 councils en route begin to co-operate.</w:t>
      </w:r>
    </w:p>
    <w:p w14:paraId="316467FC" w14:textId="77777777"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2003 – </w:t>
      </w:r>
      <w:r w:rsidRPr="001D0066">
        <w:rPr>
          <w:rStyle w:val="Emphasis"/>
          <w:rFonts w:ascii="Century Gothic" w:hAnsi="Century Gothic" w:cs="Helvetica"/>
          <w:color w:val="333333"/>
          <w:sz w:val="18"/>
          <w:szCs w:val="18"/>
        </w:rPr>
        <w:t>Te Araroa - The New Zealand Trail</w:t>
      </w:r>
      <w:r w:rsidRPr="001D0066">
        <w:rPr>
          <w:rFonts w:ascii="Century Gothic" w:hAnsi="Century Gothic" w:cs="Helvetica"/>
          <w:color w:val="333333"/>
          <w:sz w:val="18"/>
          <w:szCs w:val="18"/>
        </w:rPr>
        <w:t> a book published on the trail, wins ‘Environment category’ Montana book award.</w:t>
      </w:r>
    </w:p>
    <w:p w14:paraId="73F60204" w14:textId="6AFE18FC" w:rsidR="00173A47" w:rsidRPr="001D0066" w:rsidRDefault="00173A47" w:rsidP="001D0066">
      <w:pPr>
        <w:pStyle w:val="NormalWeb"/>
        <w:numPr>
          <w:ilvl w:val="0"/>
          <w:numId w:val="2"/>
        </w:numPr>
        <w:shd w:val="clear" w:color="auto" w:fill="FFFFFF"/>
        <w:spacing w:before="0" w:beforeAutospacing="0" w:after="150" w:afterAutospacing="0"/>
        <w:ind w:left="375"/>
        <w:jc w:val="both"/>
        <w:rPr>
          <w:rFonts w:ascii="Century Gothic" w:hAnsi="Century Gothic" w:cs="Helvetica"/>
          <w:color w:val="333333"/>
          <w:sz w:val="18"/>
          <w:szCs w:val="18"/>
        </w:rPr>
      </w:pPr>
      <w:r w:rsidRPr="001D0066">
        <w:rPr>
          <w:rFonts w:ascii="Century Gothic" w:hAnsi="Century Gothic" w:cs="Helvetica"/>
          <w:color w:val="333333"/>
          <w:sz w:val="18"/>
          <w:szCs w:val="18"/>
        </w:rPr>
        <w:t>Regional Te Araroa Trusts established to co-ordinate volunteer effort. Eight regional trusts in total, including Southland, Otago, Canterbury/West</w:t>
      </w:r>
      <w:r w:rsidR="001D0066">
        <w:rPr>
          <w:rFonts w:ascii="Century Gothic" w:hAnsi="Century Gothic" w:cs="Helvetica"/>
          <w:color w:val="333333"/>
          <w:sz w:val="18"/>
          <w:szCs w:val="18"/>
        </w:rPr>
        <w:t xml:space="preserve"> </w:t>
      </w:r>
      <w:r w:rsidRPr="001D0066">
        <w:rPr>
          <w:rFonts w:ascii="Century Gothic" w:hAnsi="Century Gothic" w:cs="Helvetica"/>
          <w:color w:val="333333"/>
          <w:sz w:val="18"/>
          <w:szCs w:val="18"/>
        </w:rPr>
        <w:t>Coast.</w:t>
      </w:r>
    </w:p>
    <w:p w14:paraId="3FB83AA1" w14:textId="77777777" w:rsidR="00173A47" w:rsidRPr="001D0066" w:rsidRDefault="00173A47" w:rsidP="001D0066">
      <w:pPr>
        <w:pStyle w:val="NormalWeb"/>
        <w:numPr>
          <w:ilvl w:val="0"/>
          <w:numId w:val="2"/>
        </w:numPr>
        <w:shd w:val="clear" w:color="auto" w:fill="FFFFFF"/>
        <w:spacing w:before="0" w:beforeAutospacing="0" w:after="150" w:afterAutospacing="0"/>
        <w:ind w:left="375"/>
        <w:jc w:val="both"/>
        <w:rPr>
          <w:rFonts w:ascii="Century Gothic" w:hAnsi="Century Gothic" w:cs="Helvetica"/>
          <w:color w:val="333333"/>
          <w:sz w:val="18"/>
          <w:szCs w:val="18"/>
        </w:rPr>
      </w:pPr>
      <w:r w:rsidRPr="001D0066">
        <w:rPr>
          <w:rFonts w:ascii="Century Gothic" w:hAnsi="Century Gothic" w:cs="Helvetica"/>
          <w:color w:val="333333"/>
          <w:sz w:val="18"/>
          <w:szCs w:val="18"/>
        </w:rPr>
        <w:t>Te Araroa is not open, but walkers begin to do it anyway – up to 10 a year, using roads as by-passes where necessary.</w:t>
      </w:r>
    </w:p>
    <w:p w14:paraId="19AE10FA" w14:textId="77777777"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2006 – New Te Araroa tracks now total over 400km. The links through to legal thoroughfares on the coast and river margins, make over 80% of the route walkable, including a 15% back-road component. Local authorities begin to put Te Araroa into district plans and regional authorities include it in regional walking strategies. Crown Tenure Review results extend the SI trail.</w:t>
      </w:r>
    </w:p>
    <w:p w14:paraId="45CDFC2B" w14:textId="1EB80C28"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 xml:space="preserve">2007 – DOC is voted $3.8 million to put in Te Araroa across public estate – previously Te Araroa had financed such </w:t>
      </w:r>
      <w:r w:rsidR="008460C4" w:rsidRPr="001D0066">
        <w:rPr>
          <w:rFonts w:ascii="Century Gothic" w:hAnsi="Century Gothic" w:cs="Helvetica"/>
          <w:color w:val="333333"/>
          <w:sz w:val="18"/>
          <w:szCs w:val="18"/>
        </w:rPr>
        <w:t>tracks. Te</w:t>
      </w:r>
      <w:r w:rsidRPr="001D0066">
        <w:rPr>
          <w:rFonts w:ascii="Century Gothic" w:hAnsi="Century Gothic" w:cs="Helvetica"/>
          <w:color w:val="333333"/>
          <w:sz w:val="18"/>
          <w:szCs w:val="18"/>
        </w:rPr>
        <w:t xml:space="preserve"> Araroa Trust, its eight regional trusts, with co-operation from territorial local authorities and regional authorities continue to develop all sections outside the public estate – two thirds of the distance.</w:t>
      </w:r>
    </w:p>
    <w:p w14:paraId="0A4FE40D" w14:textId="2DB47E46"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 xml:space="preserve">2008 – New track openings and access to previously inaccessible legal thoroughfare makes over 90% of the trail walkable, including the road component which has now been shrunk to 13.5%. Not </w:t>
      </w:r>
      <w:proofErr w:type="gramStart"/>
      <w:r w:rsidRPr="001D0066">
        <w:rPr>
          <w:rFonts w:ascii="Century Gothic" w:hAnsi="Century Gothic" w:cs="Helvetica"/>
          <w:color w:val="333333"/>
          <w:sz w:val="18"/>
          <w:szCs w:val="18"/>
        </w:rPr>
        <w:t>all of</w:t>
      </w:r>
      <w:proofErr w:type="gramEnd"/>
      <w:r w:rsidRPr="001D0066">
        <w:rPr>
          <w:rFonts w:ascii="Century Gothic" w:hAnsi="Century Gothic" w:cs="Helvetica"/>
          <w:color w:val="333333"/>
          <w:sz w:val="18"/>
          <w:szCs w:val="18"/>
        </w:rPr>
        <w:t xml:space="preserve"> that 90% is signed - just another job to be done.</w:t>
      </w:r>
      <w:r w:rsidR="001D0066">
        <w:rPr>
          <w:rFonts w:ascii="Century Gothic" w:hAnsi="Century Gothic" w:cs="Helvetica"/>
          <w:color w:val="333333"/>
          <w:sz w:val="18"/>
          <w:szCs w:val="18"/>
        </w:rPr>
        <w:t xml:space="preserve"> </w:t>
      </w:r>
      <w:r w:rsidRPr="001D0066">
        <w:rPr>
          <w:rFonts w:ascii="Century Gothic" w:hAnsi="Century Gothic" w:cs="Helvetica"/>
          <w:color w:val="333333"/>
          <w:sz w:val="18"/>
          <w:szCs w:val="18"/>
        </w:rPr>
        <w:t>Te Araroa Trust plans for an opening at the end of 2011.</w:t>
      </w:r>
    </w:p>
    <w:p w14:paraId="35EC85D0" w14:textId="77777777"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2011 - Te Araroa officially opened by the Governor-General Sir Jerry Mateparae on 3 December 2011. The publication </w:t>
      </w:r>
      <w:r w:rsidRPr="001D0066">
        <w:rPr>
          <w:rStyle w:val="Emphasis"/>
          <w:rFonts w:ascii="Century Gothic" w:hAnsi="Century Gothic" w:cs="Helvetica"/>
          <w:color w:val="333333"/>
          <w:sz w:val="18"/>
          <w:szCs w:val="18"/>
        </w:rPr>
        <w:t>Te Araroa: A Walking Guide to New Zealand's Long Trail</w:t>
      </w:r>
      <w:r w:rsidRPr="001D0066">
        <w:rPr>
          <w:rFonts w:ascii="Century Gothic" w:hAnsi="Century Gothic" w:cs="Helvetica"/>
          <w:color w:val="333333"/>
          <w:sz w:val="18"/>
          <w:szCs w:val="18"/>
        </w:rPr>
        <w:t> is released.</w:t>
      </w:r>
    </w:p>
    <w:p w14:paraId="4DD65427" w14:textId="47648FB4"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 xml:space="preserve">2012 - Geoff Chapple stands down as CEO of Te Araroa </w:t>
      </w:r>
      <w:r w:rsidR="008460C4" w:rsidRPr="001D0066">
        <w:rPr>
          <w:rFonts w:ascii="Century Gothic" w:hAnsi="Century Gothic" w:cs="Helvetica"/>
          <w:color w:val="333333"/>
          <w:sz w:val="18"/>
          <w:szCs w:val="18"/>
        </w:rPr>
        <w:t>Trust and</w:t>
      </w:r>
      <w:r w:rsidRPr="001D0066">
        <w:rPr>
          <w:rFonts w:ascii="Century Gothic" w:hAnsi="Century Gothic" w:cs="Helvetica"/>
          <w:color w:val="333333"/>
          <w:sz w:val="18"/>
          <w:szCs w:val="18"/>
        </w:rPr>
        <w:t xml:space="preserve"> is subsequently </w:t>
      </w:r>
      <w:proofErr w:type="spellStart"/>
      <w:r w:rsidRPr="001D0066">
        <w:rPr>
          <w:rFonts w:ascii="Century Gothic" w:hAnsi="Century Gothic" w:cs="Helvetica"/>
          <w:color w:val="333333"/>
          <w:sz w:val="18"/>
          <w:szCs w:val="18"/>
        </w:rPr>
        <w:t>honoured</w:t>
      </w:r>
      <w:proofErr w:type="spellEnd"/>
      <w:r w:rsidRPr="001D0066">
        <w:rPr>
          <w:rFonts w:ascii="Century Gothic" w:hAnsi="Century Gothic" w:cs="Helvetica"/>
          <w:color w:val="333333"/>
          <w:sz w:val="18"/>
          <w:szCs w:val="18"/>
        </w:rPr>
        <w:t xml:space="preserve"> with an ONZM in the </w:t>
      </w:r>
      <w:r w:rsidR="008460C4" w:rsidRPr="001D0066">
        <w:rPr>
          <w:rFonts w:ascii="Century Gothic" w:hAnsi="Century Gothic" w:cs="Helvetica"/>
          <w:color w:val="333333"/>
          <w:sz w:val="18"/>
          <w:szCs w:val="18"/>
        </w:rPr>
        <w:t>Queen’s</w:t>
      </w:r>
      <w:r w:rsidRPr="001D0066">
        <w:rPr>
          <w:rFonts w:ascii="Century Gothic" w:hAnsi="Century Gothic" w:cs="Helvetica"/>
          <w:color w:val="333333"/>
          <w:sz w:val="18"/>
          <w:szCs w:val="18"/>
        </w:rPr>
        <w:t xml:space="preserve"> Birthday </w:t>
      </w:r>
      <w:proofErr w:type="spellStart"/>
      <w:r w:rsidRPr="001D0066">
        <w:rPr>
          <w:rFonts w:ascii="Century Gothic" w:hAnsi="Century Gothic" w:cs="Helvetica"/>
          <w:color w:val="333333"/>
          <w:sz w:val="18"/>
          <w:szCs w:val="18"/>
        </w:rPr>
        <w:t>Honours</w:t>
      </w:r>
      <w:proofErr w:type="spellEnd"/>
      <w:r w:rsidRPr="001D0066">
        <w:rPr>
          <w:rFonts w:ascii="Century Gothic" w:hAnsi="Century Gothic" w:cs="Helvetica"/>
          <w:color w:val="333333"/>
          <w:sz w:val="18"/>
          <w:szCs w:val="18"/>
        </w:rPr>
        <w:t>. Rob Wakelin assumes the role of CEO.</w:t>
      </w:r>
    </w:p>
    <w:p w14:paraId="326742F9" w14:textId="77777777"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2014 - Te Araroa Trust opens the Puhoi Track, a track specifically built for day-walkers to experience Te Araroa.</w:t>
      </w:r>
    </w:p>
    <w:p w14:paraId="3E810607" w14:textId="00BC7293"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 xml:space="preserve">2015 - Te Araroa Trust receives a Walking Access Award from the New Zealand Walking Access Commission, in recognition of what they have </w:t>
      </w:r>
      <w:r w:rsidR="008460C4" w:rsidRPr="001D0066">
        <w:rPr>
          <w:rFonts w:ascii="Century Gothic" w:hAnsi="Century Gothic" w:cs="Helvetica"/>
          <w:color w:val="333333"/>
          <w:sz w:val="18"/>
          <w:szCs w:val="18"/>
        </w:rPr>
        <w:t>achieved</w:t>
      </w:r>
      <w:r w:rsidRPr="001D0066">
        <w:rPr>
          <w:rFonts w:ascii="Century Gothic" w:hAnsi="Century Gothic" w:cs="Helvetica"/>
          <w:color w:val="333333"/>
          <w:sz w:val="18"/>
          <w:szCs w:val="18"/>
        </w:rPr>
        <w:t xml:space="preserve"> in </w:t>
      </w:r>
      <w:proofErr w:type="gramStart"/>
      <w:r w:rsidRPr="001D0066">
        <w:rPr>
          <w:rFonts w:ascii="Century Gothic" w:hAnsi="Century Gothic" w:cs="Helvetica"/>
          <w:color w:val="333333"/>
          <w:sz w:val="18"/>
          <w:szCs w:val="18"/>
        </w:rPr>
        <w:t>opening up</w:t>
      </w:r>
      <w:proofErr w:type="gramEnd"/>
      <w:r w:rsidRPr="001D0066">
        <w:rPr>
          <w:rFonts w:ascii="Century Gothic" w:hAnsi="Century Gothic" w:cs="Helvetica"/>
          <w:color w:val="333333"/>
          <w:sz w:val="18"/>
          <w:szCs w:val="18"/>
        </w:rPr>
        <w:t xml:space="preserve"> many locations for public walking access. </w:t>
      </w:r>
    </w:p>
    <w:p w14:paraId="76D0FD87" w14:textId="77777777"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lastRenderedPageBreak/>
        <w:t>2015 - Te Araroa Trust and DOC agree a further $1.6million funding to conclude the construction programme over the next two years.</w:t>
      </w:r>
    </w:p>
    <w:p w14:paraId="4A9B0CB8" w14:textId="6CCF6D50" w:rsidR="00173A47" w:rsidRPr="001D0066" w:rsidRDefault="00173A4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2016 - Te Araroa Trust opens the Paekakariki Escarpment Track, a $1.4million project between Paekakariki and Pukerua Bay, another track specifically aimed at day-walkers</w:t>
      </w:r>
    </w:p>
    <w:p w14:paraId="6CA192AA" w14:textId="78CF7B0E" w:rsidR="006A346F" w:rsidRDefault="006A346F"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sidRPr="001D0066">
        <w:rPr>
          <w:rFonts w:ascii="Century Gothic" w:hAnsi="Century Gothic" w:cs="Helvetica"/>
          <w:color w:val="333333"/>
          <w:sz w:val="18"/>
          <w:szCs w:val="18"/>
        </w:rPr>
        <w:t>2018 – Rob Wakelin steps down as CEO after five years, Mark Weatherall is appointed as the Trusts CEO.</w:t>
      </w:r>
    </w:p>
    <w:p w14:paraId="4AB0BDF3" w14:textId="2CCF416C" w:rsidR="00D45807" w:rsidRPr="001D0066" w:rsidRDefault="00D45807" w:rsidP="001D0066">
      <w:pPr>
        <w:pStyle w:val="NormalWeb"/>
        <w:shd w:val="clear" w:color="auto" w:fill="FFFFFF"/>
        <w:spacing w:before="0" w:beforeAutospacing="0" w:after="150" w:afterAutospacing="0"/>
        <w:jc w:val="both"/>
        <w:rPr>
          <w:rFonts w:ascii="Century Gothic" w:hAnsi="Century Gothic" w:cs="Helvetica"/>
          <w:color w:val="333333"/>
          <w:sz w:val="18"/>
          <w:szCs w:val="18"/>
        </w:rPr>
      </w:pPr>
      <w:r>
        <w:rPr>
          <w:rFonts w:ascii="Century Gothic" w:hAnsi="Century Gothic" w:cs="Helvetica"/>
          <w:color w:val="333333"/>
          <w:sz w:val="18"/>
          <w:szCs w:val="18"/>
        </w:rPr>
        <w:t>2020 – Te Araroa Trust partners with Waking Access New Zealand</w:t>
      </w:r>
    </w:p>
    <w:p w14:paraId="623EC31B" w14:textId="3943BF3E" w:rsidR="00173A47" w:rsidRPr="001D0066" w:rsidRDefault="00173A47" w:rsidP="001D0066">
      <w:pPr>
        <w:jc w:val="both"/>
        <w:rPr>
          <w:rFonts w:ascii="Century Gothic" w:hAnsi="Century Gothic"/>
          <w:b/>
          <w:sz w:val="18"/>
          <w:szCs w:val="18"/>
        </w:rPr>
      </w:pPr>
    </w:p>
    <w:p w14:paraId="71CF22CD" w14:textId="5D800CC8" w:rsidR="00173A47" w:rsidRDefault="006A346F" w:rsidP="005C4331">
      <w:pPr>
        <w:rPr>
          <w:rFonts w:ascii="Century Gothic" w:hAnsi="Century Gothic"/>
          <w:b/>
          <w:sz w:val="20"/>
          <w:szCs w:val="20"/>
        </w:rPr>
      </w:pPr>
      <w:r w:rsidRPr="001D0066">
        <w:rPr>
          <w:rFonts w:ascii="Century Gothic" w:hAnsi="Century Gothic"/>
          <w:b/>
          <w:sz w:val="20"/>
          <w:szCs w:val="20"/>
        </w:rPr>
        <w:t xml:space="preserve">Te Araroa </w:t>
      </w:r>
      <w:r w:rsidR="00173A47" w:rsidRPr="001D0066">
        <w:rPr>
          <w:rFonts w:ascii="Century Gothic" w:hAnsi="Century Gothic"/>
          <w:b/>
          <w:sz w:val="20"/>
          <w:szCs w:val="20"/>
        </w:rPr>
        <w:t>Trust Strategy</w:t>
      </w:r>
    </w:p>
    <w:p w14:paraId="41BCAEAF" w14:textId="2B22981C" w:rsidR="00D852D3" w:rsidRDefault="00D852D3" w:rsidP="00082A6A">
      <w:pPr>
        <w:jc w:val="center"/>
        <w:rPr>
          <w:rFonts w:ascii="Century Gothic" w:hAnsi="Century Gothic"/>
          <w:b/>
          <w:sz w:val="20"/>
          <w:szCs w:val="20"/>
        </w:rPr>
      </w:pPr>
      <w:r>
        <w:drawing>
          <wp:inline distT="0" distB="0" distL="0" distR="0" wp14:anchorId="347F5102" wp14:editId="3D0668F7">
            <wp:extent cx="5007717" cy="697230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11568" cy="6977662"/>
                    </a:xfrm>
                    <a:prstGeom prst="rect">
                      <a:avLst/>
                    </a:prstGeom>
                    <a:noFill/>
                    <a:ln>
                      <a:noFill/>
                    </a:ln>
                  </pic:spPr>
                </pic:pic>
              </a:graphicData>
            </a:graphic>
          </wp:inline>
        </w:drawing>
      </w:r>
    </w:p>
    <w:p w14:paraId="55E852DD" w14:textId="77777777" w:rsidR="00D45807" w:rsidRDefault="00D45807" w:rsidP="00D45807">
      <w:pPr>
        <w:rPr>
          <w:rFonts w:ascii="Century Gothic" w:hAnsi="Century Gothic"/>
          <w:b/>
          <w:sz w:val="24"/>
          <w:szCs w:val="24"/>
          <w:lang w:eastAsia="en-NZ"/>
        </w:rPr>
      </w:pPr>
      <w:r w:rsidRPr="00CA70EC">
        <w:rPr>
          <w:rFonts w:ascii="Century Gothic" w:hAnsi="Century Gothic"/>
          <w:b/>
          <w:sz w:val="24"/>
          <w:szCs w:val="24"/>
          <w:lang w:eastAsia="en-NZ"/>
        </w:rPr>
        <w:lastRenderedPageBreak/>
        <w:drawing>
          <wp:anchor distT="0" distB="0" distL="114300" distR="114300" simplePos="0" relativeHeight="251664384" behindDoc="1" locked="0" layoutInCell="1" allowOverlap="1" wp14:anchorId="3368A24F" wp14:editId="502780DF">
            <wp:simplePos x="0" y="0"/>
            <wp:positionH relativeFrom="column">
              <wp:posOffset>5170170</wp:posOffset>
            </wp:positionH>
            <wp:positionV relativeFrom="paragraph">
              <wp:posOffset>-224790</wp:posOffset>
            </wp:positionV>
            <wp:extent cx="853440" cy="1182624"/>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e araroa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53440" cy="1182624"/>
                    </a:xfrm>
                    <a:prstGeom prst="rect">
                      <a:avLst/>
                    </a:prstGeom>
                  </pic:spPr>
                </pic:pic>
              </a:graphicData>
            </a:graphic>
            <wp14:sizeRelH relativeFrom="margin">
              <wp14:pctWidth>0</wp14:pctWidth>
            </wp14:sizeRelH>
            <wp14:sizeRelV relativeFrom="margin">
              <wp14:pctHeight>0</wp14:pctHeight>
            </wp14:sizeRelV>
          </wp:anchor>
        </w:drawing>
      </w:r>
      <w:r>
        <w:rPr>
          <w:rFonts w:ascii="Century Gothic" w:hAnsi="Century Gothic"/>
          <w:b/>
          <w:sz w:val="24"/>
          <w:szCs w:val="24"/>
          <w:lang w:eastAsia="en-NZ"/>
        </w:rPr>
        <w:t>Position Description – Te Araroa Waikato Regional Trust</w:t>
      </w:r>
    </w:p>
    <w:p w14:paraId="4CBFBCCE" w14:textId="77777777" w:rsidR="00D45807" w:rsidRPr="00CA70EC" w:rsidRDefault="00D45807" w:rsidP="00D45807">
      <w:pPr>
        <w:rPr>
          <w:rFonts w:ascii="Century Gothic" w:hAnsi="Century Gothic"/>
          <w:b/>
          <w:sz w:val="24"/>
          <w:szCs w:val="24"/>
          <w:lang w:eastAsia="en-NZ"/>
        </w:rPr>
      </w:pPr>
    </w:p>
    <w:p w14:paraId="72BB007A" w14:textId="77777777" w:rsidR="00D45807" w:rsidRDefault="00D45807" w:rsidP="00D45807">
      <w:pPr>
        <w:rPr>
          <w:rFonts w:ascii="Century Gothic" w:hAnsi="Century Gothic"/>
          <w:sz w:val="18"/>
          <w:szCs w:val="18"/>
        </w:rPr>
      </w:pPr>
      <w:r w:rsidRPr="00C1262D">
        <w:rPr>
          <w:rFonts w:ascii="Century Gothic" w:hAnsi="Century Gothic"/>
          <w:b/>
          <w:sz w:val="18"/>
          <w:szCs w:val="18"/>
        </w:rPr>
        <w:t>Our Vision:</w:t>
      </w:r>
      <w:r>
        <w:rPr>
          <w:rFonts w:ascii="Century Gothic" w:hAnsi="Century Gothic"/>
          <w:sz w:val="18"/>
          <w:szCs w:val="18"/>
        </w:rPr>
        <w:t xml:space="preserve">  </w:t>
      </w:r>
      <w:r>
        <w:rPr>
          <w:rFonts w:ascii="Century Gothic" w:hAnsi="Century Gothic"/>
          <w:sz w:val="18"/>
          <w:szCs w:val="18"/>
        </w:rPr>
        <w:tab/>
      </w:r>
      <w:r>
        <w:rPr>
          <w:rFonts w:ascii="Century Gothic" w:hAnsi="Century Gothic"/>
          <w:sz w:val="18"/>
          <w:szCs w:val="18"/>
        </w:rPr>
        <w:tab/>
        <w:t>“Walk of a lifetime”</w:t>
      </w:r>
    </w:p>
    <w:p w14:paraId="0B0E39C4" w14:textId="77777777" w:rsidR="00D45807" w:rsidRDefault="00D45807" w:rsidP="00D45807">
      <w:pPr>
        <w:rPr>
          <w:rFonts w:ascii="Century Gothic" w:hAnsi="Century Gothic"/>
          <w:sz w:val="18"/>
          <w:szCs w:val="18"/>
        </w:rPr>
      </w:pPr>
      <w:r w:rsidRPr="00C1262D">
        <w:rPr>
          <w:rFonts w:ascii="Century Gothic" w:hAnsi="Century Gothic"/>
          <w:b/>
          <w:sz w:val="18"/>
          <w:szCs w:val="18"/>
        </w:rPr>
        <w:t>Reports to:</w:t>
      </w:r>
      <w:r>
        <w:rPr>
          <w:rFonts w:ascii="Century Gothic" w:hAnsi="Century Gothic"/>
          <w:sz w:val="18"/>
          <w:szCs w:val="18"/>
        </w:rPr>
        <w:tab/>
      </w:r>
      <w:r>
        <w:rPr>
          <w:rFonts w:ascii="Century Gothic" w:hAnsi="Century Gothic"/>
          <w:sz w:val="18"/>
          <w:szCs w:val="18"/>
        </w:rPr>
        <w:tab/>
        <w:t>Te Araroa Waikato Regional Trust Chairperson</w:t>
      </w:r>
    </w:p>
    <w:p w14:paraId="3BCAC7FB" w14:textId="77777777" w:rsidR="00D45807" w:rsidRPr="0060018E" w:rsidRDefault="00D45807" w:rsidP="00D45807">
      <w:pPr>
        <w:pStyle w:val="NormalWeb"/>
        <w:spacing w:before="200" w:beforeAutospacing="0" w:after="0" w:afterAutospacing="0" w:line="216" w:lineRule="auto"/>
        <w:ind w:left="2160" w:hanging="2160"/>
        <w:rPr>
          <w:rFonts w:ascii="Century Gothic" w:hAnsi="Century Gothic"/>
          <w:sz w:val="18"/>
          <w:szCs w:val="18"/>
        </w:rPr>
      </w:pPr>
      <w:r w:rsidRPr="00C1262D">
        <w:rPr>
          <w:rFonts w:ascii="Century Gothic" w:hAnsi="Century Gothic"/>
          <w:b/>
          <w:sz w:val="18"/>
          <w:szCs w:val="18"/>
        </w:rPr>
        <w:t xml:space="preserve">Purpose of the </w:t>
      </w:r>
      <w:r>
        <w:rPr>
          <w:rFonts w:ascii="Century Gothic" w:hAnsi="Century Gothic"/>
          <w:b/>
          <w:sz w:val="18"/>
          <w:szCs w:val="18"/>
        </w:rPr>
        <w:t>t</w:t>
      </w:r>
      <w:r w:rsidRPr="00C1262D">
        <w:rPr>
          <w:rFonts w:ascii="Century Gothic" w:hAnsi="Century Gothic"/>
          <w:b/>
          <w:sz w:val="18"/>
          <w:szCs w:val="18"/>
        </w:rPr>
        <w:t>rust:</w:t>
      </w:r>
      <w:r>
        <w:rPr>
          <w:rFonts w:ascii="Century Gothic" w:hAnsi="Century Gothic"/>
          <w:sz w:val="18"/>
          <w:szCs w:val="18"/>
        </w:rPr>
        <w:tab/>
      </w:r>
      <w:r w:rsidRPr="0060018E">
        <w:rPr>
          <w:rFonts w:ascii="Century Gothic" w:eastAsiaTheme="minorEastAsia" w:hAnsi="Century Gothic" w:cstheme="minorBidi"/>
          <w:color w:val="404040" w:themeColor="text1" w:themeTint="BF"/>
          <w:kern w:val="24"/>
          <w:sz w:val="18"/>
          <w:szCs w:val="18"/>
        </w:rPr>
        <w:t xml:space="preserve">To sustain, provide, </w:t>
      </w:r>
      <w:proofErr w:type="gramStart"/>
      <w:r w:rsidRPr="0060018E">
        <w:rPr>
          <w:rFonts w:ascii="Century Gothic" w:eastAsiaTheme="minorEastAsia" w:hAnsi="Century Gothic" w:cstheme="minorBidi"/>
          <w:color w:val="404040" w:themeColor="text1" w:themeTint="BF"/>
          <w:kern w:val="24"/>
          <w:sz w:val="18"/>
          <w:szCs w:val="18"/>
        </w:rPr>
        <w:t>promote</w:t>
      </w:r>
      <w:proofErr w:type="gramEnd"/>
      <w:r w:rsidRPr="0060018E">
        <w:rPr>
          <w:rFonts w:ascii="Century Gothic" w:eastAsiaTheme="minorEastAsia" w:hAnsi="Century Gothic" w:cstheme="minorBidi"/>
          <w:color w:val="404040" w:themeColor="text1" w:themeTint="BF"/>
          <w:kern w:val="24"/>
          <w:sz w:val="18"/>
          <w:szCs w:val="18"/>
        </w:rPr>
        <w:t xml:space="preserve"> and support the Te Araroa trail</w:t>
      </w:r>
      <w:r>
        <w:rPr>
          <w:rFonts w:ascii="Century Gothic" w:eastAsiaTheme="minorEastAsia" w:hAnsi="Century Gothic" w:cstheme="minorBidi"/>
          <w:color w:val="404040" w:themeColor="text1" w:themeTint="BF"/>
          <w:kern w:val="24"/>
          <w:sz w:val="18"/>
          <w:szCs w:val="18"/>
        </w:rPr>
        <w:t xml:space="preserve"> </w:t>
      </w:r>
      <w:r w:rsidRPr="0060018E">
        <w:rPr>
          <w:rFonts w:ascii="Century Gothic" w:eastAsiaTheme="minorEastAsia" w:hAnsi="Century Gothic" w:cstheme="minorBidi"/>
          <w:color w:val="404040" w:themeColor="text1" w:themeTint="BF"/>
          <w:kern w:val="24"/>
          <w:sz w:val="18"/>
          <w:szCs w:val="18"/>
        </w:rPr>
        <w:t xml:space="preserve">in the </w:t>
      </w:r>
      <w:r>
        <w:rPr>
          <w:rFonts w:ascii="Century Gothic" w:eastAsiaTheme="minorEastAsia" w:hAnsi="Century Gothic" w:cstheme="minorBidi"/>
          <w:color w:val="404040" w:themeColor="text1" w:themeTint="BF"/>
          <w:kern w:val="24"/>
          <w:sz w:val="18"/>
          <w:szCs w:val="18"/>
        </w:rPr>
        <w:t>Waikato</w:t>
      </w:r>
      <w:r w:rsidRPr="0060018E">
        <w:rPr>
          <w:rFonts w:ascii="Century Gothic" w:eastAsiaTheme="minorEastAsia" w:hAnsi="Century Gothic" w:cstheme="minorBidi"/>
          <w:color w:val="404040" w:themeColor="text1" w:themeTint="BF"/>
          <w:kern w:val="24"/>
          <w:sz w:val="18"/>
          <w:szCs w:val="18"/>
        </w:rPr>
        <w:t xml:space="preserve"> region, an inspiring, iconic trail that spans the length and diversity of Aotearoa / New Zealand. The trail is challenging yet achievable for through-walkers and section hikers alike.</w:t>
      </w:r>
    </w:p>
    <w:p w14:paraId="6D66AF5D" w14:textId="77777777" w:rsidR="00D45807" w:rsidRPr="00C1262D" w:rsidRDefault="00D45807" w:rsidP="00D45807">
      <w:pPr>
        <w:rPr>
          <w:rFonts w:ascii="Century Gothic" w:hAnsi="Century Gothic"/>
          <w:b/>
          <w:sz w:val="18"/>
          <w:szCs w:val="18"/>
        </w:rPr>
      </w:pPr>
      <w:r w:rsidRPr="00C1262D">
        <w:rPr>
          <w:rFonts w:ascii="Century Gothic" w:hAnsi="Century Gothic"/>
          <w:b/>
          <w:sz w:val="18"/>
          <w:szCs w:val="18"/>
        </w:rPr>
        <w:t>Scope of the position:</w:t>
      </w:r>
    </w:p>
    <w:p w14:paraId="1762720E" w14:textId="77777777" w:rsidR="00D45807" w:rsidRDefault="00D45807" w:rsidP="00D45807">
      <w:pPr>
        <w:rPr>
          <w:rFonts w:ascii="Century Gothic" w:hAnsi="Century Gothic"/>
          <w:sz w:val="18"/>
          <w:szCs w:val="18"/>
        </w:rPr>
      </w:pPr>
      <w:r>
        <w:rPr>
          <w:rFonts w:ascii="Century Gothic" w:hAnsi="Century Gothic"/>
          <w:sz w:val="18"/>
          <w:szCs w:val="18"/>
        </w:rPr>
        <w:t>The appointed Trustees are fully accountable members of the Te Araroa Waikato Trust and is expected to exercise the powers and perform the duties of the Trust as set out in the Constitution of the Te Araroa Trust and adhere to the Te Araroa Trustee Code of Conduct.</w:t>
      </w:r>
    </w:p>
    <w:p w14:paraId="36BE52E3" w14:textId="77777777" w:rsidR="00D45807" w:rsidRPr="00C1262D" w:rsidRDefault="00D45807" w:rsidP="00D45807">
      <w:pPr>
        <w:rPr>
          <w:rFonts w:ascii="Century Gothic" w:hAnsi="Century Gothic"/>
          <w:b/>
          <w:sz w:val="18"/>
          <w:szCs w:val="18"/>
        </w:rPr>
      </w:pPr>
      <w:r w:rsidRPr="00C1262D">
        <w:rPr>
          <w:rFonts w:ascii="Century Gothic" w:hAnsi="Century Gothic"/>
          <w:b/>
          <w:sz w:val="18"/>
          <w:szCs w:val="18"/>
        </w:rPr>
        <w:t>Appointment and tenure</w:t>
      </w:r>
    </w:p>
    <w:p w14:paraId="3E7E9319" w14:textId="77777777" w:rsidR="00D45807" w:rsidRDefault="00D45807" w:rsidP="00D45807">
      <w:pPr>
        <w:rPr>
          <w:rFonts w:ascii="Century Gothic" w:hAnsi="Century Gothic"/>
          <w:sz w:val="18"/>
          <w:szCs w:val="18"/>
        </w:rPr>
      </w:pPr>
      <w:r>
        <w:rPr>
          <w:rFonts w:ascii="Century Gothic" w:hAnsi="Century Gothic"/>
          <w:sz w:val="18"/>
          <w:szCs w:val="18"/>
        </w:rPr>
        <w:t>The Trustee’s will be appointed for an initial three (3) year term at the conclusion of they are eligible to stand again. The application process for the role will be managed by the appointment panel.</w:t>
      </w:r>
    </w:p>
    <w:p w14:paraId="18DE0E9C" w14:textId="77777777" w:rsidR="00D45807" w:rsidRPr="00C1262D" w:rsidRDefault="00D45807" w:rsidP="00D45807">
      <w:pPr>
        <w:rPr>
          <w:rFonts w:ascii="Century Gothic" w:hAnsi="Century Gothic"/>
          <w:b/>
          <w:sz w:val="18"/>
          <w:szCs w:val="18"/>
        </w:rPr>
      </w:pPr>
      <w:r w:rsidRPr="00C1262D">
        <w:rPr>
          <w:rFonts w:ascii="Century Gothic" w:hAnsi="Century Gothic"/>
          <w:b/>
          <w:sz w:val="18"/>
          <w:szCs w:val="18"/>
        </w:rPr>
        <w:t xml:space="preserve">Time Commitment </w:t>
      </w:r>
    </w:p>
    <w:p w14:paraId="19E33910" w14:textId="77777777" w:rsidR="00D45807" w:rsidRDefault="00D45807" w:rsidP="00D45807">
      <w:pPr>
        <w:rPr>
          <w:rFonts w:ascii="Century Gothic" w:hAnsi="Century Gothic"/>
          <w:sz w:val="18"/>
          <w:szCs w:val="18"/>
        </w:rPr>
      </w:pPr>
      <w:r>
        <w:rPr>
          <w:rFonts w:ascii="Century Gothic" w:hAnsi="Century Gothic"/>
          <w:sz w:val="18"/>
          <w:szCs w:val="18"/>
        </w:rPr>
        <w:t>The Trust will meet on a six-weekly basis, there may be some work required in between the meetings, but the expectation is not large.</w:t>
      </w:r>
    </w:p>
    <w:p w14:paraId="3D10CBBE" w14:textId="77777777" w:rsidR="00D45807" w:rsidRDefault="00D45807" w:rsidP="00D45807">
      <w:pPr>
        <w:rPr>
          <w:rFonts w:ascii="Century Gothic" w:hAnsi="Century Gothic"/>
          <w:b/>
          <w:sz w:val="18"/>
          <w:szCs w:val="18"/>
        </w:rPr>
      </w:pPr>
      <w:r w:rsidRPr="00E24F98">
        <w:rPr>
          <w:rFonts w:ascii="Century Gothic" w:hAnsi="Century Gothic"/>
          <w:b/>
          <w:sz w:val="18"/>
          <w:szCs w:val="18"/>
        </w:rPr>
        <w:t>Personal Attributes and Skills</w:t>
      </w:r>
    </w:p>
    <w:p w14:paraId="486502F4" w14:textId="77777777" w:rsidR="00D45807" w:rsidRPr="00E24F98" w:rsidRDefault="00D45807" w:rsidP="00D45807">
      <w:pPr>
        <w:rPr>
          <w:rFonts w:ascii="Century Gothic" w:hAnsi="Century Gothic"/>
          <w:sz w:val="18"/>
          <w:szCs w:val="18"/>
        </w:rPr>
      </w:pPr>
      <w:r w:rsidRPr="00E24F98">
        <w:rPr>
          <w:rFonts w:ascii="Century Gothic" w:hAnsi="Century Gothic"/>
          <w:sz w:val="18"/>
          <w:szCs w:val="18"/>
        </w:rPr>
        <w:t>General:</w:t>
      </w:r>
    </w:p>
    <w:p w14:paraId="662F16B1" w14:textId="77777777" w:rsidR="00D45807" w:rsidRPr="00E24F98" w:rsidRDefault="00D45807" w:rsidP="00D45807">
      <w:pPr>
        <w:pStyle w:val="ListParagraph"/>
        <w:numPr>
          <w:ilvl w:val="0"/>
          <w:numId w:val="3"/>
        </w:numPr>
        <w:rPr>
          <w:rFonts w:ascii="Century Gothic" w:hAnsi="Century Gothic"/>
          <w:sz w:val="18"/>
          <w:szCs w:val="18"/>
        </w:rPr>
      </w:pPr>
      <w:r w:rsidRPr="00E24F98">
        <w:rPr>
          <w:rFonts w:ascii="Century Gothic" w:hAnsi="Century Gothic"/>
          <w:sz w:val="18"/>
          <w:szCs w:val="18"/>
        </w:rPr>
        <w:t xml:space="preserve">To see the big picture and the implications and impact on issues in the broader sense </w:t>
      </w:r>
    </w:p>
    <w:p w14:paraId="37866C27" w14:textId="77777777" w:rsidR="00D45807" w:rsidRPr="00E24F98" w:rsidRDefault="00D45807" w:rsidP="00D45807">
      <w:pPr>
        <w:pStyle w:val="ListParagraph"/>
        <w:numPr>
          <w:ilvl w:val="0"/>
          <w:numId w:val="3"/>
        </w:numPr>
        <w:rPr>
          <w:rFonts w:ascii="Century Gothic" w:hAnsi="Century Gothic"/>
          <w:sz w:val="18"/>
          <w:szCs w:val="18"/>
        </w:rPr>
      </w:pPr>
      <w:r w:rsidRPr="00E24F98">
        <w:rPr>
          <w:rFonts w:ascii="Century Gothic" w:hAnsi="Century Gothic"/>
          <w:sz w:val="18"/>
          <w:szCs w:val="18"/>
        </w:rPr>
        <w:t xml:space="preserve">To make sensible, astute recommendations and business decisions </w:t>
      </w:r>
    </w:p>
    <w:p w14:paraId="3AEFE491" w14:textId="3E77897D" w:rsidR="00D45807" w:rsidRPr="00E24F98" w:rsidRDefault="00D45807" w:rsidP="00D45807">
      <w:pPr>
        <w:pStyle w:val="ListParagraph"/>
        <w:numPr>
          <w:ilvl w:val="0"/>
          <w:numId w:val="3"/>
        </w:numPr>
        <w:rPr>
          <w:rFonts w:ascii="Century Gothic" w:hAnsi="Century Gothic"/>
          <w:sz w:val="18"/>
          <w:szCs w:val="18"/>
        </w:rPr>
      </w:pPr>
      <w:r w:rsidRPr="00E24F98">
        <w:rPr>
          <w:rFonts w:ascii="Century Gothic" w:hAnsi="Century Gothic"/>
          <w:sz w:val="18"/>
          <w:szCs w:val="18"/>
        </w:rPr>
        <w:t xml:space="preserve">To interpret both factual and conceptual information and make sound judgements based on that </w:t>
      </w:r>
      <w:r w:rsidR="008460C4" w:rsidRPr="00E24F98">
        <w:rPr>
          <w:rFonts w:ascii="Century Gothic" w:hAnsi="Century Gothic"/>
          <w:sz w:val="18"/>
          <w:szCs w:val="18"/>
        </w:rPr>
        <w:t>information.</w:t>
      </w:r>
      <w:r w:rsidRPr="00E24F98">
        <w:rPr>
          <w:rFonts w:ascii="Century Gothic" w:hAnsi="Century Gothic"/>
          <w:sz w:val="18"/>
          <w:szCs w:val="18"/>
        </w:rPr>
        <w:t xml:space="preserve"> </w:t>
      </w:r>
    </w:p>
    <w:p w14:paraId="202064B2" w14:textId="1245FF47" w:rsidR="00D45807" w:rsidRDefault="00D45807" w:rsidP="00D45807">
      <w:pPr>
        <w:pStyle w:val="ListParagraph"/>
        <w:numPr>
          <w:ilvl w:val="0"/>
          <w:numId w:val="3"/>
        </w:numPr>
        <w:rPr>
          <w:rFonts w:ascii="Century Gothic" w:hAnsi="Century Gothic"/>
          <w:sz w:val="18"/>
          <w:szCs w:val="18"/>
        </w:rPr>
      </w:pPr>
      <w:r w:rsidRPr="00E24F98">
        <w:rPr>
          <w:rFonts w:ascii="Century Gothic" w:hAnsi="Century Gothic"/>
          <w:sz w:val="18"/>
          <w:szCs w:val="18"/>
        </w:rPr>
        <w:t xml:space="preserve">To contribute to the creation and not merely the preservation of stakeholder value; and to be able to distinguish between the separate but complementary roles of governance and </w:t>
      </w:r>
      <w:r w:rsidR="008460C4" w:rsidRPr="00E24F98">
        <w:rPr>
          <w:rFonts w:ascii="Century Gothic" w:hAnsi="Century Gothic"/>
          <w:sz w:val="18"/>
          <w:szCs w:val="18"/>
        </w:rPr>
        <w:t>management.</w:t>
      </w:r>
      <w:r w:rsidRPr="00E24F98">
        <w:rPr>
          <w:rFonts w:ascii="Century Gothic" w:hAnsi="Century Gothic"/>
          <w:sz w:val="18"/>
          <w:szCs w:val="18"/>
        </w:rPr>
        <w:t xml:space="preserve"> </w:t>
      </w:r>
    </w:p>
    <w:p w14:paraId="15C3C839" w14:textId="390D3EDB" w:rsidR="00D45807" w:rsidRPr="00E24F98" w:rsidRDefault="00D45807" w:rsidP="00D45807">
      <w:pPr>
        <w:pStyle w:val="ListParagraph"/>
        <w:numPr>
          <w:ilvl w:val="0"/>
          <w:numId w:val="3"/>
        </w:numPr>
        <w:rPr>
          <w:rFonts w:ascii="Century Gothic" w:hAnsi="Century Gothic"/>
          <w:sz w:val="18"/>
          <w:szCs w:val="18"/>
        </w:rPr>
      </w:pPr>
      <w:r>
        <w:rPr>
          <w:rFonts w:ascii="Century Gothic" w:hAnsi="Century Gothic"/>
          <w:sz w:val="18"/>
          <w:szCs w:val="18"/>
        </w:rPr>
        <w:t xml:space="preserve">Ability to network and connect </w:t>
      </w:r>
      <w:r w:rsidR="008460C4">
        <w:rPr>
          <w:rFonts w:ascii="Century Gothic" w:hAnsi="Century Gothic"/>
          <w:sz w:val="18"/>
          <w:szCs w:val="18"/>
        </w:rPr>
        <w:t>people.</w:t>
      </w:r>
    </w:p>
    <w:p w14:paraId="12E4F818" w14:textId="77777777" w:rsidR="00D45807" w:rsidRPr="00E24F98" w:rsidRDefault="00D45807" w:rsidP="00D45807">
      <w:pPr>
        <w:rPr>
          <w:rFonts w:ascii="Century Gothic" w:hAnsi="Century Gothic"/>
          <w:sz w:val="18"/>
          <w:szCs w:val="18"/>
        </w:rPr>
      </w:pPr>
      <w:r w:rsidRPr="00E24F98">
        <w:rPr>
          <w:rFonts w:ascii="Century Gothic" w:hAnsi="Century Gothic"/>
          <w:sz w:val="18"/>
          <w:szCs w:val="18"/>
        </w:rPr>
        <w:t xml:space="preserve">Strategic:  </w:t>
      </w:r>
    </w:p>
    <w:p w14:paraId="750E6BD6" w14:textId="77777777" w:rsidR="00D45807" w:rsidRPr="00E24F98" w:rsidRDefault="00D45807" w:rsidP="00D45807">
      <w:pPr>
        <w:pStyle w:val="ListParagraph"/>
        <w:numPr>
          <w:ilvl w:val="0"/>
          <w:numId w:val="4"/>
        </w:numPr>
        <w:rPr>
          <w:rFonts w:ascii="Century Gothic" w:hAnsi="Century Gothic"/>
          <w:sz w:val="18"/>
          <w:szCs w:val="18"/>
        </w:rPr>
      </w:pPr>
      <w:r w:rsidRPr="00E24F98">
        <w:rPr>
          <w:rFonts w:ascii="Century Gothic" w:hAnsi="Century Gothic"/>
          <w:sz w:val="18"/>
          <w:szCs w:val="18"/>
        </w:rPr>
        <w:t xml:space="preserve">To hold all the interconnecting components of strategy and planning together and to develop and drive a cohesive work programme to achieve </w:t>
      </w:r>
      <w:r>
        <w:rPr>
          <w:rFonts w:ascii="Century Gothic" w:hAnsi="Century Gothic"/>
          <w:sz w:val="18"/>
          <w:szCs w:val="18"/>
        </w:rPr>
        <w:t>Te Araroa’ s</w:t>
      </w:r>
      <w:r w:rsidRPr="00E24F98">
        <w:rPr>
          <w:rFonts w:ascii="Century Gothic" w:hAnsi="Century Gothic"/>
          <w:sz w:val="18"/>
          <w:szCs w:val="18"/>
        </w:rPr>
        <w:t xml:space="preserve"> </w:t>
      </w:r>
      <w:r>
        <w:rPr>
          <w:rFonts w:ascii="Century Gothic" w:hAnsi="Century Gothic"/>
          <w:sz w:val="18"/>
          <w:szCs w:val="18"/>
        </w:rPr>
        <w:t>v</w:t>
      </w:r>
      <w:r w:rsidRPr="00E24F98">
        <w:rPr>
          <w:rFonts w:ascii="Century Gothic" w:hAnsi="Century Gothic"/>
          <w:sz w:val="18"/>
          <w:szCs w:val="18"/>
        </w:rPr>
        <w:t xml:space="preserve">ision and </w:t>
      </w:r>
      <w:r>
        <w:rPr>
          <w:rFonts w:ascii="Century Gothic" w:hAnsi="Century Gothic"/>
          <w:sz w:val="18"/>
          <w:szCs w:val="18"/>
        </w:rPr>
        <w:t>p</w:t>
      </w:r>
      <w:r w:rsidRPr="00E24F98">
        <w:rPr>
          <w:rFonts w:ascii="Century Gothic" w:hAnsi="Century Gothic"/>
          <w:sz w:val="18"/>
          <w:szCs w:val="18"/>
        </w:rPr>
        <w:t xml:space="preserve">urpose. </w:t>
      </w:r>
    </w:p>
    <w:p w14:paraId="454BD6A5" w14:textId="77777777" w:rsidR="00D45807" w:rsidRPr="00E24F98" w:rsidRDefault="00D45807" w:rsidP="00D45807">
      <w:pPr>
        <w:pStyle w:val="ListParagraph"/>
        <w:numPr>
          <w:ilvl w:val="0"/>
          <w:numId w:val="4"/>
        </w:numPr>
        <w:rPr>
          <w:rFonts w:ascii="Century Gothic" w:hAnsi="Century Gothic"/>
          <w:sz w:val="18"/>
          <w:szCs w:val="18"/>
        </w:rPr>
      </w:pPr>
      <w:r w:rsidRPr="00E24F98">
        <w:rPr>
          <w:rFonts w:ascii="Century Gothic" w:hAnsi="Century Gothic"/>
          <w:sz w:val="18"/>
          <w:szCs w:val="18"/>
        </w:rPr>
        <w:t xml:space="preserve">To understand the position of </w:t>
      </w:r>
      <w:r>
        <w:rPr>
          <w:rFonts w:ascii="Century Gothic" w:hAnsi="Century Gothic"/>
          <w:sz w:val="18"/>
          <w:szCs w:val="18"/>
        </w:rPr>
        <w:t>the Te Araroa Waikato Trust,</w:t>
      </w:r>
      <w:r w:rsidRPr="00E24F98">
        <w:rPr>
          <w:rFonts w:ascii="Century Gothic" w:hAnsi="Century Gothic"/>
          <w:sz w:val="18"/>
          <w:szCs w:val="18"/>
        </w:rPr>
        <w:t xml:space="preserve"> its </w:t>
      </w:r>
      <w:proofErr w:type="gramStart"/>
      <w:r w:rsidRPr="00E24F98">
        <w:rPr>
          <w:rFonts w:ascii="Century Gothic" w:hAnsi="Century Gothic"/>
          <w:sz w:val="18"/>
          <w:szCs w:val="18"/>
        </w:rPr>
        <w:t>market</w:t>
      </w:r>
      <w:proofErr w:type="gramEnd"/>
      <w:r w:rsidRPr="00E24F98">
        <w:rPr>
          <w:rFonts w:ascii="Century Gothic" w:hAnsi="Century Gothic"/>
          <w:sz w:val="18"/>
          <w:szCs w:val="18"/>
        </w:rPr>
        <w:t xml:space="preserve"> and its relationship to key stakeholders </w:t>
      </w:r>
    </w:p>
    <w:p w14:paraId="097652FC" w14:textId="7473CF01" w:rsidR="00D45807" w:rsidRPr="00E24F98" w:rsidRDefault="00D45807" w:rsidP="00D45807">
      <w:pPr>
        <w:pStyle w:val="ListParagraph"/>
        <w:numPr>
          <w:ilvl w:val="0"/>
          <w:numId w:val="4"/>
        </w:numPr>
        <w:rPr>
          <w:rFonts w:ascii="Century Gothic" w:hAnsi="Century Gothic"/>
          <w:sz w:val="18"/>
          <w:szCs w:val="18"/>
        </w:rPr>
      </w:pPr>
      <w:r w:rsidRPr="00E24F98">
        <w:rPr>
          <w:rFonts w:ascii="Century Gothic" w:hAnsi="Century Gothic"/>
          <w:sz w:val="18"/>
          <w:szCs w:val="18"/>
        </w:rPr>
        <w:t xml:space="preserve">To look beyond the short-term and ensure that the </w:t>
      </w:r>
      <w:r>
        <w:rPr>
          <w:rFonts w:ascii="Century Gothic" w:hAnsi="Century Gothic"/>
          <w:sz w:val="18"/>
          <w:szCs w:val="18"/>
        </w:rPr>
        <w:t xml:space="preserve">trust </w:t>
      </w:r>
      <w:r w:rsidRPr="00E24F98">
        <w:rPr>
          <w:rFonts w:ascii="Century Gothic" w:hAnsi="Century Gothic"/>
          <w:sz w:val="18"/>
          <w:szCs w:val="18"/>
        </w:rPr>
        <w:t xml:space="preserve">adopts a longer-term, stewardship </w:t>
      </w:r>
      <w:r w:rsidR="008460C4" w:rsidRPr="00E24F98">
        <w:rPr>
          <w:rFonts w:ascii="Century Gothic" w:hAnsi="Century Gothic"/>
          <w:sz w:val="18"/>
          <w:szCs w:val="18"/>
        </w:rPr>
        <w:t>approach.</w:t>
      </w:r>
      <w:r w:rsidRPr="00E24F98">
        <w:rPr>
          <w:rFonts w:ascii="Century Gothic" w:hAnsi="Century Gothic"/>
          <w:sz w:val="18"/>
          <w:szCs w:val="18"/>
        </w:rPr>
        <w:t xml:space="preserve">  </w:t>
      </w:r>
    </w:p>
    <w:p w14:paraId="1B5A3543" w14:textId="77777777" w:rsidR="00D45807" w:rsidRPr="00E24F98" w:rsidRDefault="00D45807" w:rsidP="00D45807">
      <w:pPr>
        <w:rPr>
          <w:rFonts w:ascii="Century Gothic" w:hAnsi="Century Gothic"/>
          <w:sz w:val="18"/>
          <w:szCs w:val="18"/>
        </w:rPr>
      </w:pPr>
      <w:r w:rsidRPr="00E24F98">
        <w:rPr>
          <w:rFonts w:ascii="Century Gothic" w:hAnsi="Century Gothic"/>
          <w:sz w:val="18"/>
          <w:szCs w:val="18"/>
        </w:rPr>
        <w:t xml:space="preserve">Analytical: </w:t>
      </w:r>
    </w:p>
    <w:p w14:paraId="6EBA0927" w14:textId="77777777" w:rsidR="00D45807" w:rsidRPr="00E24F98" w:rsidRDefault="00D45807" w:rsidP="00D45807">
      <w:pPr>
        <w:pStyle w:val="ListParagraph"/>
        <w:numPr>
          <w:ilvl w:val="0"/>
          <w:numId w:val="5"/>
        </w:numPr>
        <w:rPr>
          <w:rFonts w:ascii="Century Gothic" w:hAnsi="Century Gothic"/>
          <w:sz w:val="18"/>
          <w:szCs w:val="18"/>
        </w:rPr>
      </w:pPr>
      <w:r w:rsidRPr="00E24F98">
        <w:rPr>
          <w:rFonts w:ascii="Century Gothic" w:hAnsi="Century Gothic"/>
          <w:sz w:val="18"/>
          <w:szCs w:val="18"/>
        </w:rPr>
        <w:t xml:space="preserve">To interpret financial statements and statistical information and the significance and meaning of appropriate performance indicators </w:t>
      </w:r>
    </w:p>
    <w:p w14:paraId="71FE17BF" w14:textId="70386944" w:rsidR="00D45807" w:rsidRPr="00E24F98" w:rsidRDefault="00D45807" w:rsidP="00D45807">
      <w:pPr>
        <w:pStyle w:val="ListParagraph"/>
        <w:numPr>
          <w:ilvl w:val="0"/>
          <w:numId w:val="5"/>
        </w:numPr>
        <w:rPr>
          <w:rFonts w:ascii="Century Gothic" w:hAnsi="Century Gothic"/>
          <w:sz w:val="18"/>
          <w:szCs w:val="18"/>
        </w:rPr>
      </w:pPr>
      <w:r w:rsidRPr="00E24F98">
        <w:rPr>
          <w:rFonts w:ascii="Century Gothic" w:hAnsi="Century Gothic"/>
          <w:sz w:val="18"/>
          <w:szCs w:val="18"/>
        </w:rPr>
        <w:t xml:space="preserve">To question and probe information, </w:t>
      </w:r>
      <w:proofErr w:type="gramStart"/>
      <w:r w:rsidRPr="00E24F98">
        <w:rPr>
          <w:rFonts w:ascii="Century Gothic" w:hAnsi="Century Gothic"/>
          <w:sz w:val="18"/>
          <w:szCs w:val="18"/>
        </w:rPr>
        <w:t>assumptions</w:t>
      </w:r>
      <w:proofErr w:type="gramEnd"/>
      <w:r w:rsidRPr="00E24F98">
        <w:rPr>
          <w:rFonts w:ascii="Century Gothic" w:hAnsi="Century Gothic"/>
          <w:sz w:val="18"/>
          <w:szCs w:val="18"/>
        </w:rPr>
        <w:t xml:space="preserve"> and assertions in a quest for improved understanding and better </w:t>
      </w:r>
      <w:r w:rsidR="008460C4" w:rsidRPr="00E24F98">
        <w:rPr>
          <w:rFonts w:ascii="Century Gothic" w:hAnsi="Century Gothic"/>
          <w:sz w:val="18"/>
          <w:szCs w:val="18"/>
        </w:rPr>
        <w:t>decision-making.</w:t>
      </w:r>
      <w:r w:rsidRPr="00E24F98">
        <w:rPr>
          <w:rFonts w:ascii="Century Gothic" w:hAnsi="Century Gothic"/>
          <w:sz w:val="18"/>
          <w:szCs w:val="18"/>
        </w:rPr>
        <w:t xml:space="preserve"> </w:t>
      </w:r>
    </w:p>
    <w:p w14:paraId="3BE200E2" w14:textId="09EED73A" w:rsidR="00D45807" w:rsidRPr="00E24F98" w:rsidRDefault="00D45807" w:rsidP="00D45807">
      <w:pPr>
        <w:pStyle w:val="ListParagraph"/>
        <w:numPr>
          <w:ilvl w:val="0"/>
          <w:numId w:val="5"/>
        </w:numPr>
        <w:rPr>
          <w:rFonts w:ascii="Century Gothic" w:hAnsi="Century Gothic"/>
          <w:sz w:val="18"/>
          <w:szCs w:val="18"/>
        </w:rPr>
      </w:pPr>
      <w:r w:rsidRPr="00E24F98">
        <w:rPr>
          <w:rFonts w:ascii="Century Gothic" w:hAnsi="Century Gothic"/>
          <w:sz w:val="18"/>
          <w:szCs w:val="18"/>
        </w:rPr>
        <w:t xml:space="preserve">To remain objective and measured under </w:t>
      </w:r>
      <w:r w:rsidR="008460C4" w:rsidRPr="00E24F98">
        <w:rPr>
          <w:rFonts w:ascii="Century Gothic" w:hAnsi="Century Gothic"/>
          <w:sz w:val="18"/>
          <w:szCs w:val="18"/>
        </w:rPr>
        <w:t>pressure.</w:t>
      </w:r>
      <w:r w:rsidRPr="00E24F98">
        <w:rPr>
          <w:rFonts w:ascii="Century Gothic" w:hAnsi="Century Gothic"/>
          <w:sz w:val="18"/>
          <w:szCs w:val="18"/>
        </w:rPr>
        <w:t xml:space="preserve"> </w:t>
      </w:r>
    </w:p>
    <w:p w14:paraId="6848B9BD" w14:textId="77777777" w:rsidR="00D45807" w:rsidRPr="00E24F98" w:rsidRDefault="00D45807" w:rsidP="00D45807">
      <w:pPr>
        <w:rPr>
          <w:rFonts w:ascii="Century Gothic" w:hAnsi="Century Gothic"/>
          <w:sz w:val="18"/>
          <w:szCs w:val="18"/>
        </w:rPr>
      </w:pPr>
      <w:r w:rsidRPr="00E24F98">
        <w:rPr>
          <w:rFonts w:ascii="Century Gothic" w:hAnsi="Century Gothic"/>
          <w:sz w:val="18"/>
          <w:szCs w:val="18"/>
        </w:rPr>
        <w:t xml:space="preserve">Social: </w:t>
      </w:r>
    </w:p>
    <w:p w14:paraId="490A671E" w14:textId="77777777" w:rsidR="00D45807" w:rsidRPr="00E24F98" w:rsidRDefault="00D45807" w:rsidP="00D45807">
      <w:pPr>
        <w:pStyle w:val="ListParagraph"/>
        <w:numPr>
          <w:ilvl w:val="0"/>
          <w:numId w:val="6"/>
        </w:numPr>
        <w:rPr>
          <w:rFonts w:ascii="Century Gothic" w:hAnsi="Century Gothic"/>
          <w:sz w:val="18"/>
          <w:szCs w:val="18"/>
        </w:rPr>
      </w:pPr>
      <w:r w:rsidRPr="00E24F98">
        <w:rPr>
          <w:rFonts w:ascii="Century Gothic" w:hAnsi="Century Gothic"/>
          <w:sz w:val="18"/>
          <w:szCs w:val="18"/>
        </w:rPr>
        <w:t xml:space="preserve">To participate actively and harmoniously, respecting and valuing the contributions of others and contributing to effective teamwork </w:t>
      </w:r>
    </w:p>
    <w:p w14:paraId="2F22D379" w14:textId="77777777" w:rsidR="00D45807" w:rsidRPr="00E24F98" w:rsidRDefault="00D45807" w:rsidP="00D45807">
      <w:pPr>
        <w:pStyle w:val="ListParagraph"/>
        <w:numPr>
          <w:ilvl w:val="0"/>
          <w:numId w:val="6"/>
        </w:numPr>
        <w:rPr>
          <w:rFonts w:ascii="Century Gothic" w:hAnsi="Century Gothic"/>
          <w:sz w:val="18"/>
          <w:szCs w:val="18"/>
        </w:rPr>
      </w:pPr>
      <w:r w:rsidRPr="00E24F98">
        <w:rPr>
          <w:rFonts w:ascii="Century Gothic" w:hAnsi="Century Gothic"/>
          <w:sz w:val="18"/>
          <w:szCs w:val="18"/>
        </w:rPr>
        <w:t xml:space="preserve">To articulate a point of view in a coherent and persuasive manner without dominating the </w:t>
      </w:r>
      <w:r>
        <w:rPr>
          <w:rFonts w:ascii="Century Gothic" w:hAnsi="Century Gothic"/>
          <w:sz w:val="18"/>
          <w:szCs w:val="18"/>
        </w:rPr>
        <w:t>Trust’s</w:t>
      </w:r>
      <w:r w:rsidRPr="00E24F98">
        <w:rPr>
          <w:rFonts w:ascii="Century Gothic" w:hAnsi="Century Gothic"/>
          <w:sz w:val="18"/>
          <w:szCs w:val="18"/>
        </w:rPr>
        <w:t xml:space="preserve"> proceedings </w:t>
      </w:r>
    </w:p>
    <w:p w14:paraId="7E6DF3B0" w14:textId="5125E88C" w:rsidR="00D852D3" w:rsidRPr="00D45807" w:rsidRDefault="00D45807" w:rsidP="00EE48C4">
      <w:pPr>
        <w:pStyle w:val="ListParagraph"/>
        <w:numPr>
          <w:ilvl w:val="0"/>
          <w:numId w:val="6"/>
        </w:numPr>
        <w:rPr>
          <w:rFonts w:ascii="Century Gothic" w:hAnsi="Century Gothic"/>
          <w:b/>
          <w:sz w:val="20"/>
          <w:szCs w:val="20"/>
        </w:rPr>
      </w:pPr>
      <w:r w:rsidRPr="00D45807">
        <w:rPr>
          <w:rFonts w:ascii="Century Gothic" w:hAnsi="Century Gothic"/>
          <w:sz w:val="18"/>
          <w:szCs w:val="18"/>
        </w:rPr>
        <w:t xml:space="preserve">The strength of character to maintain an independent point of view when others </w:t>
      </w:r>
      <w:r w:rsidR="008460C4" w:rsidRPr="00D45807">
        <w:rPr>
          <w:rFonts w:ascii="Century Gothic" w:hAnsi="Century Gothic"/>
          <w:sz w:val="18"/>
          <w:szCs w:val="18"/>
        </w:rPr>
        <w:t>disagree.</w:t>
      </w:r>
    </w:p>
    <w:sectPr w:rsidR="00D852D3" w:rsidRPr="00D45807" w:rsidSect="00D852D3">
      <w:pgSz w:w="11906" w:h="16838"/>
      <w:pgMar w:top="127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05229"/>
    <w:multiLevelType w:val="multilevel"/>
    <w:tmpl w:val="6F3E4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476043"/>
    <w:multiLevelType w:val="multilevel"/>
    <w:tmpl w:val="685030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4C2A71"/>
    <w:multiLevelType w:val="hybridMultilevel"/>
    <w:tmpl w:val="B7B66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9B2B97"/>
    <w:multiLevelType w:val="hybridMultilevel"/>
    <w:tmpl w:val="F6D61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E1DCF"/>
    <w:multiLevelType w:val="hybridMultilevel"/>
    <w:tmpl w:val="8F2C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B244B14"/>
    <w:multiLevelType w:val="hybridMultilevel"/>
    <w:tmpl w:val="F912DE60"/>
    <w:lvl w:ilvl="0" w:tplc="08090001">
      <w:start w:val="1"/>
      <w:numFmt w:val="bullet"/>
      <w:lvlText w:val=""/>
      <w:lvlJc w:val="left"/>
      <w:pPr>
        <w:ind w:left="816" w:hanging="360"/>
      </w:pPr>
      <w:rPr>
        <w:rFonts w:ascii="Symbol" w:hAnsi="Symbol" w:hint="default"/>
      </w:rPr>
    </w:lvl>
    <w:lvl w:ilvl="1" w:tplc="08090003">
      <w:start w:val="1"/>
      <w:numFmt w:val="bullet"/>
      <w:lvlText w:val="o"/>
      <w:lvlJc w:val="left"/>
      <w:pPr>
        <w:ind w:left="1536" w:hanging="360"/>
      </w:pPr>
      <w:rPr>
        <w:rFonts w:ascii="Courier New" w:hAnsi="Courier New" w:cs="Courier New" w:hint="default"/>
      </w:rPr>
    </w:lvl>
    <w:lvl w:ilvl="2" w:tplc="08090005">
      <w:start w:val="1"/>
      <w:numFmt w:val="bullet"/>
      <w:lvlText w:val=""/>
      <w:lvlJc w:val="left"/>
      <w:pPr>
        <w:ind w:left="2256" w:hanging="360"/>
      </w:pPr>
      <w:rPr>
        <w:rFonts w:ascii="Wingdings" w:hAnsi="Wingdings" w:hint="default"/>
      </w:rPr>
    </w:lvl>
    <w:lvl w:ilvl="3" w:tplc="08090001">
      <w:start w:val="1"/>
      <w:numFmt w:val="bullet"/>
      <w:lvlText w:val=""/>
      <w:lvlJc w:val="left"/>
      <w:pPr>
        <w:ind w:left="2976" w:hanging="360"/>
      </w:pPr>
      <w:rPr>
        <w:rFonts w:ascii="Symbol" w:hAnsi="Symbol" w:hint="default"/>
      </w:rPr>
    </w:lvl>
    <w:lvl w:ilvl="4" w:tplc="08090003">
      <w:start w:val="1"/>
      <w:numFmt w:val="bullet"/>
      <w:lvlText w:val="o"/>
      <w:lvlJc w:val="left"/>
      <w:pPr>
        <w:ind w:left="3696" w:hanging="360"/>
      </w:pPr>
      <w:rPr>
        <w:rFonts w:ascii="Courier New" w:hAnsi="Courier New" w:cs="Courier New" w:hint="default"/>
      </w:rPr>
    </w:lvl>
    <w:lvl w:ilvl="5" w:tplc="08090005">
      <w:start w:val="1"/>
      <w:numFmt w:val="bullet"/>
      <w:lvlText w:val=""/>
      <w:lvlJc w:val="left"/>
      <w:pPr>
        <w:ind w:left="4416" w:hanging="360"/>
      </w:pPr>
      <w:rPr>
        <w:rFonts w:ascii="Wingdings" w:hAnsi="Wingdings" w:hint="default"/>
      </w:rPr>
    </w:lvl>
    <w:lvl w:ilvl="6" w:tplc="08090001">
      <w:start w:val="1"/>
      <w:numFmt w:val="bullet"/>
      <w:lvlText w:val=""/>
      <w:lvlJc w:val="left"/>
      <w:pPr>
        <w:ind w:left="5136" w:hanging="360"/>
      </w:pPr>
      <w:rPr>
        <w:rFonts w:ascii="Symbol" w:hAnsi="Symbol" w:hint="default"/>
      </w:rPr>
    </w:lvl>
    <w:lvl w:ilvl="7" w:tplc="08090003">
      <w:start w:val="1"/>
      <w:numFmt w:val="bullet"/>
      <w:lvlText w:val="o"/>
      <w:lvlJc w:val="left"/>
      <w:pPr>
        <w:ind w:left="5856" w:hanging="360"/>
      </w:pPr>
      <w:rPr>
        <w:rFonts w:ascii="Courier New" w:hAnsi="Courier New" w:cs="Courier New" w:hint="default"/>
      </w:rPr>
    </w:lvl>
    <w:lvl w:ilvl="8" w:tplc="08090005">
      <w:start w:val="1"/>
      <w:numFmt w:val="bullet"/>
      <w:lvlText w:val=""/>
      <w:lvlJc w:val="left"/>
      <w:pPr>
        <w:ind w:left="6576" w:hanging="360"/>
      </w:pPr>
      <w:rPr>
        <w:rFonts w:ascii="Wingdings" w:hAnsi="Wingdings" w:hint="default"/>
      </w:rPr>
    </w:lvl>
  </w:abstractNum>
  <w:abstractNum w:abstractNumId="6" w15:restartNumberingAfterBreak="0">
    <w:nsid w:val="6BD94166"/>
    <w:multiLevelType w:val="hybridMultilevel"/>
    <w:tmpl w:val="70DAB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D319F5"/>
    <w:multiLevelType w:val="hybridMultilevel"/>
    <w:tmpl w:val="20BE6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7"/>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AF"/>
    <w:rsid w:val="00082A6A"/>
    <w:rsid w:val="000D3F72"/>
    <w:rsid w:val="00173A47"/>
    <w:rsid w:val="001D0066"/>
    <w:rsid w:val="005C4331"/>
    <w:rsid w:val="00631463"/>
    <w:rsid w:val="006A346F"/>
    <w:rsid w:val="00750E86"/>
    <w:rsid w:val="00813B0A"/>
    <w:rsid w:val="008460C4"/>
    <w:rsid w:val="00BE78AF"/>
    <w:rsid w:val="00C0441B"/>
    <w:rsid w:val="00D45807"/>
    <w:rsid w:val="00D852D3"/>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0E8B"/>
  <w15:chartTrackingRefBased/>
  <w15:docId w15:val="{5FE14AE0-2B56-4BDD-86BE-47F63B44E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78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78AF"/>
    <w:rPr>
      <w:rFonts w:ascii="Segoe UI" w:hAnsi="Segoe UI" w:cs="Segoe UI"/>
      <w:noProof/>
      <w:sz w:val="18"/>
      <w:szCs w:val="18"/>
    </w:rPr>
  </w:style>
  <w:style w:type="paragraph" w:styleId="NormalWeb">
    <w:name w:val="Normal (Web)"/>
    <w:basedOn w:val="Normal"/>
    <w:uiPriority w:val="99"/>
    <w:semiHidden/>
    <w:unhideWhenUsed/>
    <w:rsid w:val="00173A47"/>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character" w:styleId="Emphasis">
    <w:name w:val="Emphasis"/>
    <w:basedOn w:val="DefaultParagraphFont"/>
    <w:uiPriority w:val="20"/>
    <w:qFormat/>
    <w:rsid w:val="00173A47"/>
    <w:rPr>
      <w:i/>
      <w:iCs/>
    </w:rPr>
  </w:style>
  <w:style w:type="paragraph" w:styleId="ListParagraph">
    <w:name w:val="List Paragraph"/>
    <w:basedOn w:val="Normal"/>
    <w:link w:val="ListParagraphChar"/>
    <w:uiPriority w:val="34"/>
    <w:qFormat/>
    <w:rsid w:val="00173A47"/>
    <w:pPr>
      <w:ind w:left="720"/>
      <w:contextualSpacing/>
    </w:pPr>
    <w:rPr>
      <w:noProof w:val="0"/>
    </w:rPr>
  </w:style>
  <w:style w:type="character" w:customStyle="1" w:styleId="ListParagraphChar">
    <w:name w:val="List Paragraph Char"/>
    <w:link w:val="ListParagraph"/>
    <w:uiPriority w:val="34"/>
    <w:rsid w:val="00173A47"/>
  </w:style>
  <w:style w:type="character" w:styleId="Hyperlink">
    <w:name w:val="Hyperlink"/>
    <w:basedOn w:val="DefaultParagraphFont"/>
    <w:uiPriority w:val="99"/>
    <w:unhideWhenUsed/>
    <w:rsid w:val="006A346F"/>
    <w:rPr>
      <w:color w:val="0563C1" w:themeColor="hyperlink"/>
      <w:u w:val="single"/>
    </w:rPr>
  </w:style>
  <w:style w:type="character" w:styleId="UnresolvedMention">
    <w:name w:val="Unresolved Mention"/>
    <w:basedOn w:val="DefaultParagraphFont"/>
    <w:uiPriority w:val="99"/>
    <w:semiHidden/>
    <w:unhideWhenUsed/>
    <w:rsid w:val="006A34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314517">
      <w:bodyDiv w:val="1"/>
      <w:marLeft w:val="0"/>
      <w:marRight w:val="0"/>
      <w:marTop w:val="0"/>
      <w:marBottom w:val="0"/>
      <w:divBdr>
        <w:top w:val="none" w:sz="0" w:space="0" w:color="auto"/>
        <w:left w:val="none" w:sz="0" w:space="0" w:color="auto"/>
        <w:bottom w:val="none" w:sz="0" w:space="0" w:color="auto"/>
        <w:right w:val="none" w:sz="0" w:space="0" w:color="auto"/>
      </w:divBdr>
      <w:divsChild>
        <w:div w:id="862085894">
          <w:marLeft w:val="0"/>
          <w:marRight w:val="0"/>
          <w:marTop w:val="0"/>
          <w:marBottom w:val="0"/>
          <w:divBdr>
            <w:top w:val="none" w:sz="0" w:space="0" w:color="auto"/>
            <w:left w:val="none" w:sz="0" w:space="0" w:color="auto"/>
            <w:bottom w:val="none" w:sz="0" w:space="0" w:color="auto"/>
            <w:right w:val="none" w:sz="0" w:space="0" w:color="auto"/>
          </w:divBdr>
        </w:div>
      </w:divsChild>
    </w:div>
    <w:div w:id="449982411">
      <w:bodyDiv w:val="1"/>
      <w:marLeft w:val="0"/>
      <w:marRight w:val="0"/>
      <w:marTop w:val="0"/>
      <w:marBottom w:val="0"/>
      <w:divBdr>
        <w:top w:val="none" w:sz="0" w:space="0" w:color="auto"/>
        <w:left w:val="none" w:sz="0" w:space="0" w:color="auto"/>
        <w:bottom w:val="none" w:sz="0" w:space="0" w:color="auto"/>
        <w:right w:val="none" w:sz="0" w:space="0" w:color="auto"/>
      </w:divBdr>
      <w:divsChild>
        <w:div w:id="926619379">
          <w:marLeft w:val="0"/>
          <w:marRight w:val="0"/>
          <w:marTop w:val="0"/>
          <w:marBottom w:val="0"/>
          <w:divBdr>
            <w:top w:val="none" w:sz="0" w:space="0" w:color="auto"/>
            <w:left w:val="none" w:sz="0" w:space="0" w:color="auto"/>
            <w:bottom w:val="none" w:sz="0" w:space="0" w:color="auto"/>
            <w:right w:val="none" w:sz="0" w:space="0" w:color="auto"/>
          </w:divBdr>
        </w:div>
        <w:div w:id="1855076685">
          <w:marLeft w:val="0"/>
          <w:marRight w:val="0"/>
          <w:marTop w:val="0"/>
          <w:marBottom w:val="0"/>
          <w:divBdr>
            <w:top w:val="none" w:sz="0" w:space="0" w:color="auto"/>
            <w:left w:val="none" w:sz="0" w:space="0" w:color="auto"/>
            <w:bottom w:val="none" w:sz="0" w:space="0" w:color="auto"/>
            <w:right w:val="none" w:sz="0" w:space="0" w:color="auto"/>
          </w:divBdr>
        </w:div>
        <w:div w:id="1332172846">
          <w:marLeft w:val="0"/>
          <w:marRight w:val="0"/>
          <w:marTop w:val="0"/>
          <w:marBottom w:val="0"/>
          <w:divBdr>
            <w:top w:val="none" w:sz="0" w:space="0" w:color="auto"/>
            <w:left w:val="none" w:sz="0" w:space="0" w:color="auto"/>
            <w:bottom w:val="none" w:sz="0" w:space="0" w:color="auto"/>
            <w:right w:val="none" w:sz="0" w:space="0" w:color="auto"/>
          </w:divBdr>
        </w:div>
        <w:div w:id="114326647">
          <w:marLeft w:val="0"/>
          <w:marRight w:val="0"/>
          <w:marTop w:val="0"/>
          <w:marBottom w:val="0"/>
          <w:divBdr>
            <w:top w:val="none" w:sz="0" w:space="0" w:color="auto"/>
            <w:left w:val="none" w:sz="0" w:space="0" w:color="auto"/>
            <w:bottom w:val="none" w:sz="0" w:space="0" w:color="auto"/>
            <w:right w:val="none" w:sz="0" w:space="0" w:color="auto"/>
          </w:divBdr>
        </w:div>
        <w:div w:id="420026967">
          <w:marLeft w:val="0"/>
          <w:marRight w:val="0"/>
          <w:marTop w:val="0"/>
          <w:marBottom w:val="0"/>
          <w:divBdr>
            <w:top w:val="none" w:sz="0" w:space="0" w:color="auto"/>
            <w:left w:val="none" w:sz="0" w:space="0" w:color="auto"/>
            <w:bottom w:val="none" w:sz="0" w:space="0" w:color="auto"/>
            <w:right w:val="none" w:sz="0" w:space="0" w:color="auto"/>
          </w:divBdr>
        </w:div>
        <w:div w:id="2074428395">
          <w:marLeft w:val="0"/>
          <w:marRight w:val="0"/>
          <w:marTop w:val="0"/>
          <w:marBottom w:val="0"/>
          <w:divBdr>
            <w:top w:val="none" w:sz="0" w:space="0" w:color="auto"/>
            <w:left w:val="none" w:sz="0" w:space="0" w:color="auto"/>
            <w:bottom w:val="none" w:sz="0" w:space="0" w:color="auto"/>
            <w:right w:val="none" w:sz="0" w:space="0" w:color="auto"/>
          </w:divBdr>
        </w:div>
      </w:divsChild>
    </w:div>
    <w:div w:id="664406076">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
    <w:div w:id="821579152">
      <w:bodyDiv w:val="1"/>
      <w:marLeft w:val="0"/>
      <w:marRight w:val="0"/>
      <w:marTop w:val="0"/>
      <w:marBottom w:val="0"/>
      <w:divBdr>
        <w:top w:val="none" w:sz="0" w:space="0" w:color="auto"/>
        <w:left w:val="none" w:sz="0" w:space="0" w:color="auto"/>
        <w:bottom w:val="none" w:sz="0" w:space="0" w:color="auto"/>
        <w:right w:val="none" w:sz="0" w:space="0" w:color="auto"/>
      </w:divBdr>
      <w:divsChild>
        <w:div w:id="2013796350">
          <w:marLeft w:val="0"/>
          <w:marRight w:val="0"/>
          <w:marTop w:val="0"/>
          <w:marBottom w:val="0"/>
          <w:divBdr>
            <w:top w:val="none" w:sz="0" w:space="0" w:color="auto"/>
            <w:left w:val="none" w:sz="0" w:space="0" w:color="auto"/>
            <w:bottom w:val="none" w:sz="0" w:space="0" w:color="auto"/>
            <w:right w:val="none" w:sz="0" w:space="0" w:color="auto"/>
          </w:divBdr>
        </w:div>
        <w:div w:id="1908566791">
          <w:marLeft w:val="0"/>
          <w:marRight w:val="0"/>
          <w:marTop w:val="0"/>
          <w:marBottom w:val="0"/>
          <w:divBdr>
            <w:top w:val="none" w:sz="0" w:space="0" w:color="auto"/>
            <w:left w:val="none" w:sz="0" w:space="0" w:color="auto"/>
            <w:bottom w:val="none" w:sz="0" w:space="0" w:color="auto"/>
            <w:right w:val="none" w:sz="0" w:space="0" w:color="auto"/>
          </w:divBdr>
        </w:div>
        <w:div w:id="301228808">
          <w:marLeft w:val="0"/>
          <w:marRight w:val="0"/>
          <w:marTop w:val="0"/>
          <w:marBottom w:val="0"/>
          <w:divBdr>
            <w:top w:val="none" w:sz="0" w:space="0" w:color="auto"/>
            <w:left w:val="none" w:sz="0" w:space="0" w:color="auto"/>
            <w:bottom w:val="none" w:sz="0" w:space="0" w:color="auto"/>
            <w:right w:val="none" w:sz="0" w:space="0" w:color="auto"/>
          </w:divBdr>
        </w:div>
        <w:div w:id="1126974193">
          <w:marLeft w:val="0"/>
          <w:marRight w:val="0"/>
          <w:marTop w:val="0"/>
          <w:marBottom w:val="0"/>
          <w:divBdr>
            <w:top w:val="none" w:sz="0" w:space="0" w:color="auto"/>
            <w:left w:val="none" w:sz="0" w:space="0" w:color="auto"/>
            <w:bottom w:val="none" w:sz="0" w:space="0" w:color="auto"/>
            <w:right w:val="none" w:sz="0" w:space="0" w:color="auto"/>
          </w:divBdr>
        </w:div>
      </w:divsChild>
    </w:div>
    <w:div w:id="836770295">
      <w:bodyDiv w:val="1"/>
      <w:marLeft w:val="0"/>
      <w:marRight w:val="0"/>
      <w:marTop w:val="0"/>
      <w:marBottom w:val="0"/>
      <w:divBdr>
        <w:top w:val="none" w:sz="0" w:space="0" w:color="auto"/>
        <w:left w:val="none" w:sz="0" w:space="0" w:color="auto"/>
        <w:bottom w:val="none" w:sz="0" w:space="0" w:color="auto"/>
        <w:right w:val="none" w:sz="0" w:space="0" w:color="auto"/>
      </w:divBdr>
      <w:divsChild>
        <w:div w:id="2102288161">
          <w:marLeft w:val="0"/>
          <w:marRight w:val="0"/>
          <w:marTop w:val="0"/>
          <w:marBottom w:val="0"/>
          <w:divBdr>
            <w:top w:val="none" w:sz="0" w:space="0" w:color="auto"/>
            <w:left w:val="none" w:sz="0" w:space="0" w:color="auto"/>
            <w:bottom w:val="none" w:sz="0" w:space="0" w:color="auto"/>
            <w:right w:val="none" w:sz="0" w:space="0" w:color="auto"/>
          </w:divBdr>
        </w:div>
        <w:div w:id="347755561">
          <w:marLeft w:val="0"/>
          <w:marRight w:val="0"/>
          <w:marTop w:val="0"/>
          <w:marBottom w:val="0"/>
          <w:divBdr>
            <w:top w:val="none" w:sz="0" w:space="0" w:color="auto"/>
            <w:left w:val="none" w:sz="0" w:space="0" w:color="auto"/>
            <w:bottom w:val="none" w:sz="0" w:space="0" w:color="auto"/>
            <w:right w:val="none" w:sz="0" w:space="0" w:color="auto"/>
          </w:divBdr>
        </w:div>
        <w:div w:id="1107383748">
          <w:marLeft w:val="0"/>
          <w:marRight w:val="0"/>
          <w:marTop w:val="0"/>
          <w:marBottom w:val="0"/>
          <w:divBdr>
            <w:top w:val="none" w:sz="0" w:space="0" w:color="auto"/>
            <w:left w:val="none" w:sz="0" w:space="0" w:color="auto"/>
            <w:bottom w:val="none" w:sz="0" w:space="0" w:color="auto"/>
            <w:right w:val="none" w:sz="0" w:space="0" w:color="auto"/>
          </w:divBdr>
        </w:div>
        <w:div w:id="1850750721">
          <w:marLeft w:val="0"/>
          <w:marRight w:val="0"/>
          <w:marTop w:val="0"/>
          <w:marBottom w:val="0"/>
          <w:divBdr>
            <w:top w:val="none" w:sz="0" w:space="0" w:color="auto"/>
            <w:left w:val="none" w:sz="0" w:space="0" w:color="auto"/>
            <w:bottom w:val="none" w:sz="0" w:space="0" w:color="auto"/>
            <w:right w:val="none" w:sz="0" w:space="0" w:color="auto"/>
          </w:divBdr>
        </w:div>
        <w:div w:id="783159268">
          <w:marLeft w:val="0"/>
          <w:marRight w:val="0"/>
          <w:marTop w:val="0"/>
          <w:marBottom w:val="0"/>
          <w:divBdr>
            <w:top w:val="none" w:sz="0" w:space="0" w:color="auto"/>
            <w:left w:val="none" w:sz="0" w:space="0" w:color="auto"/>
            <w:bottom w:val="none" w:sz="0" w:space="0" w:color="auto"/>
            <w:right w:val="none" w:sz="0" w:space="0" w:color="auto"/>
          </w:divBdr>
        </w:div>
        <w:div w:id="793057636">
          <w:marLeft w:val="0"/>
          <w:marRight w:val="0"/>
          <w:marTop w:val="0"/>
          <w:marBottom w:val="0"/>
          <w:divBdr>
            <w:top w:val="none" w:sz="0" w:space="0" w:color="auto"/>
            <w:left w:val="none" w:sz="0" w:space="0" w:color="auto"/>
            <w:bottom w:val="none" w:sz="0" w:space="0" w:color="auto"/>
            <w:right w:val="none" w:sz="0" w:space="0" w:color="auto"/>
          </w:divBdr>
        </w:div>
        <w:div w:id="679698755">
          <w:marLeft w:val="0"/>
          <w:marRight w:val="0"/>
          <w:marTop w:val="0"/>
          <w:marBottom w:val="0"/>
          <w:divBdr>
            <w:top w:val="none" w:sz="0" w:space="0" w:color="auto"/>
            <w:left w:val="none" w:sz="0" w:space="0" w:color="auto"/>
            <w:bottom w:val="none" w:sz="0" w:space="0" w:color="auto"/>
            <w:right w:val="none" w:sz="0" w:space="0" w:color="auto"/>
          </w:divBdr>
        </w:div>
        <w:div w:id="1689604747">
          <w:marLeft w:val="0"/>
          <w:marRight w:val="0"/>
          <w:marTop w:val="0"/>
          <w:marBottom w:val="0"/>
          <w:divBdr>
            <w:top w:val="none" w:sz="0" w:space="0" w:color="auto"/>
            <w:left w:val="none" w:sz="0" w:space="0" w:color="auto"/>
            <w:bottom w:val="none" w:sz="0" w:space="0" w:color="auto"/>
            <w:right w:val="none" w:sz="0" w:space="0" w:color="auto"/>
          </w:divBdr>
        </w:div>
      </w:divsChild>
    </w:div>
    <w:div w:id="1000541992">
      <w:bodyDiv w:val="1"/>
      <w:marLeft w:val="0"/>
      <w:marRight w:val="0"/>
      <w:marTop w:val="0"/>
      <w:marBottom w:val="0"/>
      <w:divBdr>
        <w:top w:val="none" w:sz="0" w:space="0" w:color="auto"/>
        <w:left w:val="none" w:sz="0" w:space="0" w:color="auto"/>
        <w:bottom w:val="none" w:sz="0" w:space="0" w:color="auto"/>
        <w:right w:val="none" w:sz="0" w:space="0" w:color="auto"/>
      </w:divBdr>
    </w:div>
    <w:div w:id="1502894890">
      <w:bodyDiv w:val="1"/>
      <w:marLeft w:val="0"/>
      <w:marRight w:val="0"/>
      <w:marTop w:val="0"/>
      <w:marBottom w:val="0"/>
      <w:divBdr>
        <w:top w:val="none" w:sz="0" w:space="0" w:color="auto"/>
        <w:left w:val="none" w:sz="0" w:space="0" w:color="auto"/>
        <w:bottom w:val="none" w:sz="0" w:space="0" w:color="auto"/>
        <w:right w:val="none" w:sz="0" w:space="0" w:color="auto"/>
      </w:divBdr>
      <w:divsChild>
        <w:div w:id="1773546027">
          <w:marLeft w:val="0"/>
          <w:marRight w:val="0"/>
          <w:marTop w:val="0"/>
          <w:marBottom w:val="0"/>
          <w:divBdr>
            <w:top w:val="none" w:sz="0" w:space="0" w:color="auto"/>
            <w:left w:val="none" w:sz="0" w:space="0" w:color="auto"/>
            <w:bottom w:val="none" w:sz="0" w:space="0" w:color="auto"/>
            <w:right w:val="none" w:sz="0" w:space="0" w:color="auto"/>
          </w:divBdr>
        </w:div>
      </w:divsChild>
    </w:div>
    <w:div w:id="1678464146">
      <w:bodyDiv w:val="1"/>
      <w:marLeft w:val="0"/>
      <w:marRight w:val="0"/>
      <w:marTop w:val="0"/>
      <w:marBottom w:val="0"/>
      <w:divBdr>
        <w:top w:val="none" w:sz="0" w:space="0" w:color="auto"/>
        <w:left w:val="none" w:sz="0" w:space="0" w:color="auto"/>
        <w:bottom w:val="none" w:sz="0" w:space="0" w:color="auto"/>
        <w:right w:val="none" w:sz="0" w:space="0" w:color="auto"/>
      </w:divBdr>
      <w:divsChild>
        <w:div w:id="1559626489">
          <w:marLeft w:val="0"/>
          <w:marRight w:val="0"/>
          <w:marTop w:val="0"/>
          <w:marBottom w:val="0"/>
          <w:divBdr>
            <w:top w:val="none" w:sz="0" w:space="0" w:color="auto"/>
            <w:left w:val="none" w:sz="0" w:space="0" w:color="auto"/>
            <w:bottom w:val="none" w:sz="0" w:space="0" w:color="auto"/>
            <w:right w:val="none" w:sz="0" w:space="0" w:color="auto"/>
          </w:divBdr>
        </w:div>
        <w:div w:id="392969649">
          <w:marLeft w:val="0"/>
          <w:marRight w:val="0"/>
          <w:marTop w:val="0"/>
          <w:marBottom w:val="0"/>
          <w:divBdr>
            <w:top w:val="none" w:sz="0" w:space="0" w:color="auto"/>
            <w:left w:val="none" w:sz="0" w:space="0" w:color="auto"/>
            <w:bottom w:val="none" w:sz="0" w:space="0" w:color="auto"/>
            <w:right w:val="none" w:sz="0" w:space="0" w:color="auto"/>
          </w:divBdr>
        </w:div>
        <w:div w:id="1056856670">
          <w:marLeft w:val="0"/>
          <w:marRight w:val="0"/>
          <w:marTop w:val="0"/>
          <w:marBottom w:val="0"/>
          <w:divBdr>
            <w:top w:val="none" w:sz="0" w:space="0" w:color="auto"/>
            <w:left w:val="none" w:sz="0" w:space="0" w:color="auto"/>
            <w:bottom w:val="none" w:sz="0" w:space="0" w:color="auto"/>
            <w:right w:val="none" w:sz="0" w:space="0" w:color="auto"/>
          </w:divBdr>
        </w:div>
        <w:div w:id="2041124368">
          <w:marLeft w:val="0"/>
          <w:marRight w:val="0"/>
          <w:marTop w:val="0"/>
          <w:marBottom w:val="0"/>
          <w:divBdr>
            <w:top w:val="none" w:sz="0" w:space="0" w:color="auto"/>
            <w:left w:val="none" w:sz="0" w:space="0" w:color="auto"/>
            <w:bottom w:val="none" w:sz="0" w:space="0" w:color="auto"/>
            <w:right w:val="none" w:sz="0" w:space="0" w:color="auto"/>
          </w:divBdr>
        </w:div>
        <w:div w:id="1637680320">
          <w:marLeft w:val="0"/>
          <w:marRight w:val="0"/>
          <w:marTop w:val="0"/>
          <w:marBottom w:val="0"/>
          <w:divBdr>
            <w:top w:val="none" w:sz="0" w:space="0" w:color="auto"/>
            <w:left w:val="none" w:sz="0" w:space="0" w:color="auto"/>
            <w:bottom w:val="none" w:sz="0" w:space="0" w:color="auto"/>
            <w:right w:val="none" w:sz="0" w:space="0" w:color="auto"/>
          </w:divBdr>
        </w:div>
        <w:div w:id="889415416">
          <w:marLeft w:val="0"/>
          <w:marRight w:val="0"/>
          <w:marTop w:val="0"/>
          <w:marBottom w:val="0"/>
          <w:divBdr>
            <w:top w:val="none" w:sz="0" w:space="0" w:color="auto"/>
            <w:left w:val="none" w:sz="0" w:space="0" w:color="auto"/>
            <w:bottom w:val="none" w:sz="0" w:space="0" w:color="auto"/>
            <w:right w:val="none" w:sz="0" w:space="0" w:color="auto"/>
          </w:divBdr>
        </w:div>
      </w:divsChild>
    </w:div>
    <w:div w:id="1935087318">
      <w:bodyDiv w:val="1"/>
      <w:marLeft w:val="0"/>
      <w:marRight w:val="0"/>
      <w:marTop w:val="0"/>
      <w:marBottom w:val="0"/>
      <w:divBdr>
        <w:top w:val="none" w:sz="0" w:space="0" w:color="auto"/>
        <w:left w:val="none" w:sz="0" w:space="0" w:color="auto"/>
        <w:bottom w:val="none" w:sz="0" w:space="0" w:color="auto"/>
        <w:right w:val="none" w:sz="0" w:space="0" w:color="auto"/>
      </w:divBdr>
    </w:div>
    <w:div w:id="2120372030">
      <w:bodyDiv w:val="1"/>
      <w:marLeft w:val="0"/>
      <w:marRight w:val="0"/>
      <w:marTop w:val="0"/>
      <w:marBottom w:val="0"/>
      <w:divBdr>
        <w:top w:val="none" w:sz="0" w:space="0" w:color="auto"/>
        <w:left w:val="none" w:sz="0" w:space="0" w:color="auto"/>
        <w:bottom w:val="none" w:sz="0" w:space="0" w:color="auto"/>
        <w:right w:val="none" w:sz="0" w:space="0" w:color="auto"/>
      </w:divBdr>
      <w:divsChild>
        <w:div w:id="1866559901">
          <w:marLeft w:val="0"/>
          <w:marRight w:val="0"/>
          <w:marTop w:val="0"/>
          <w:marBottom w:val="0"/>
          <w:divBdr>
            <w:top w:val="none" w:sz="0" w:space="0" w:color="auto"/>
            <w:left w:val="none" w:sz="0" w:space="0" w:color="auto"/>
            <w:bottom w:val="none" w:sz="0" w:space="0" w:color="auto"/>
            <w:right w:val="none" w:sz="0" w:space="0" w:color="auto"/>
          </w:divBdr>
        </w:div>
        <w:div w:id="890191820">
          <w:marLeft w:val="0"/>
          <w:marRight w:val="0"/>
          <w:marTop w:val="0"/>
          <w:marBottom w:val="0"/>
          <w:divBdr>
            <w:top w:val="none" w:sz="0" w:space="0" w:color="auto"/>
            <w:left w:val="none" w:sz="0" w:space="0" w:color="auto"/>
            <w:bottom w:val="none" w:sz="0" w:space="0" w:color="auto"/>
            <w:right w:val="none" w:sz="0" w:space="0" w:color="auto"/>
          </w:divBdr>
        </w:div>
        <w:div w:id="549924994">
          <w:marLeft w:val="0"/>
          <w:marRight w:val="0"/>
          <w:marTop w:val="0"/>
          <w:marBottom w:val="0"/>
          <w:divBdr>
            <w:top w:val="none" w:sz="0" w:space="0" w:color="auto"/>
            <w:left w:val="none" w:sz="0" w:space="0" w:color="auto"/>
            <w:bottom w:val="none" w:sz="0" w:space="0" w:color="auto"/>
            <w:right w:val="none" w:sz="0" w:space="0" w:color="auto"/>
          </w:divBdr>
        </w:div>
        <w:div w:id="280187046">
          <w:marLeft w:val="0"/>
          <w:marRight w:val="0"/>
          <w:marTop w:val="0"/>
          <w:marBottom w:val="0"/>
          <w:divBdr>
            <w:top w:val="none" w:sz="0" w:space="0" w:color="auto"/>
            <w:left w:val="none" w:sz="0" w:space="0" w:color="auto"/>
            <w:bottom w:val="none" w:sz="0" w:space="0" w:color="auto"/>
            <w:right w:val="none" w:sz="0" w:space="0" w:color="auto"/>
          </w:divBdr>
        </w:div>
        <w:div w:id="3172250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372F30-6FEE-41DD-969C-D4F43A3FC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1221</Words>
  <Characters>6963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Weatherall</dc:creator>
  <cp:keywords/>
  <dc:description/>
  <cp:lastModifiedBy>Mark Weatherall</cp:lastModifiedBy>
  <cp:revision>3</cp:revision>
  <cp:lastPrinted>2020-02-11T20:23:00Z</cp:lastPrinted>
  <dcterms:created xsi:type="dcterms:W3CDTF">2021-06-30T01:10:00Z</dcterms:created>
  <dcterms:modified xsi:type="dcterms:W3CDTF">2021-06-30T01:11:00Z</dcterms:modified>
</cp:coreProperties>
</file>